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宋体" w:hAnsi="宋体" w:eastAsia="宋体" w:cs="宋体"/>
          <w:b/>
          <w:color w:val="auto"/>
          <w:sz w:val="32"/>
          <w:szCs w:val="32"/>
          <w:highlight w:val="none"/>
        </w:rPr>
      </w:pPr>
    </w:p>
    <w:p>
      <w:pPr>
        <w:spacing w:line="360" w:lineRule="auto"/>
        <w:ind w:firstLine="221" w:firstLineChars="50"/>
        <w:jc w:val="center"/>
        <w:rPr>
          <w:rFonts w:hint="eastAsia" w:ascii="宋体" w:hAnsi="宋体" w:cs="宋体"/>
          <w:b/>
          <w:color w:val="auto"/>
          <w:sz w:val="44"/>
          <w:szCs w:val="44"/>
          <w:highlight w:val="none"/>
          <w:lang w:eastAsia="zh-CN"/>
        </w:rPr>
      </w:pPr>
    </w:p>
    <w:p>
      <w:pPr>
        <w:spacing w:line="360" w:lineRule="auto"/>
        <w:ind w:firstLine="261" w:firstLineChars="50"/>
        <w:jc w:val="center"/>
        <w:rPr>
          <w:rFonts w:hint="eastAsia" w:ascii="宋体" w:hAnsi="宋体" w:eastAsia="宋体" w:cs="宋体"/>
          <w:b/>
          <w:color w:val="auto"/>
          <w:sz w:val="24"/>
          <w:highlight w:val="none"/>
        </w:rPr>
      </w:pPr>
      <w:r>
        <w:rPr>
          <w:rFonts w:hint="eastAsia" w:ascii="仿宋" w:hAnsi="仿宋" w:eastAsia="仿宋" w:cs="仿宋"/>
          <w:b/>
          <w:color w:val="auto"/>
          <w:sz w:val="52"/>
          <w:szCs w:val="52"/>
          <w:highlight w:val="none"/>
          <w:lang w:eastAsia="zh-CN"/>
        </w:rPr>
        <w:t>东联路（凌海段）路灯线路维修改造工程</w:t>
      </w:r>
    </w:p>
    <w:p>
      <w:pPr>
        <w:spacing w:line="360" w:lineRule="auto"/>
        <w:ind w:firstLine="261" w:firstLineChars="50"/>
        <w:jc w:val="center"/>
        <w:rPr>
          <w:rFonts w:hint="eastAsia" w:ascii="仿宋" w:hAnsi="仿宋" w:eastAsia="仿宋" w:cs="仿宋"/>
          <w:b/>
          <w:color w:val="auto"/>
          <w:sz w:val="52"/>
          <w:szCs w:val="52"/>
          <w:highlight w:val="none"/>
          <w:lang w:eastAsia="zh-CN"/>
        </w:rPr>
      </w:pPr>
      <w:r>
        <w:rPr>
          <w:rFonts w:hint="eastAsia" w:ascii="仿宋" w:hAnsi="仿宋" w:eastAsia="仿宋" w:cs="仿宋"/>
          <w:b/>
          <w:color w:val="auto"/>
          <w:sz w:val="52"/>
          <w:szCs w:val="52"/>
          <w:highlight w:val="none"/>
          <w:lang w:eastAsia="zh-CN"/>
        </w:rPr>
        <w:t>竞争性磋商</w:t>
      </w:r>
    </w:p>
    <w:p>
      <w:pPr>
        <w:spacing w:line="360" w:lineRule="auto"/>
        <w:ind w:firstLine="261" w:firstLineChars="50"/>
        <w:jc w:val="center"/>
        <w:rPr>
          <w:rFonts w:hint="eastAsia" w:ascii="仿宋" w:hAnsi="仿宋" w:eastAsia="仿宋" w:cs="仿宋"/>
          <w:b/>
          <w:color w:val="auto"/>
          <w:sz w:val="52"/>
          <w:szCs w:val="52"/>
          <w:highlight w:val="none"/>
          <w:lang w:eastAsia="zh-CN"/>
        </w:rPr>
      </w:pPr>
      <w:r>
        <w:rPr>
          <w:rFonts w:hint="eastAsia" w:ascii="仿宋" w:hAnsi="仿宋" w:eastAsia="仿宋" w:cs="仿宋"/>
          <w:b/>
          <w:color w:val="auto"/>
          <w:sz w:val="52"/>
          <w:szCs w:val="52"/>
          <w:highlight w:val="none"/>
          <w:lang w:eastAsia="zh-CN"/>
        </w:rPr>
        <w:t>采购文件</w:t>
      </w:r>
    </w:p>
    <w:p>
      <w:pPr>
        <w:spacing w:line="360" w:lineRule="auto"/>
        <w:ind w:firstLine="261" w:firstLineChars="50"/>
        <w:jc w:val="center"/>
        <w:rPr>
          <w:rFonts w:hint="eastAsia" w:ascii="仿宋" w:hAnsi="仿宋" w:eastAsia="仿宋" w:cs="仿宋"/>
          <w:b/>
          <w:color w:val="auto"/>
          <w:sz w:val="52"/>
          <w:szCs w:val="52"/>
          <w:highlight w:val="none"/>
          <w:lang w:eastAsia="zh-CN"/>
        </w:rPr>
      </w:pPr>
    </w:p>
    <w:p>
      <w:pPr>
        <w:spacing w:line="480" w:lineRule="exact"/>
        <w:jc w:val="center"/>
        <w:rPr>
          <w:rFonts w:hint="eastAsia" w:ascii="宋体" w:hAnsi="宋体" w:eastAsia="宋体" w:cs="宋体"/>
          <w:b/>
          <w:color w:val="auto"/>
          <w:sz w:val="24"/>
          <w:highlight w:val="none"/>
        </w:rPr>
      </w:pPr>
    </w:p>
    <w:p>
      <w:pPr>
        <w:spacing w:line="480" w:lineRule="exact"/>
        <w:jc w:val="center"/>
        <w:rPr>
          <w:rFonts w:hint="eastAsia" w:ascii="宋体" w:hAnsi="宋体" w:eastAsia="宋体" w:cs="宋体"/>
          <w:b/>
          <w:color w:val="auto"/>
          <w:sz w:val="24"/>
          <w:highlight w:val="none"/>
        </w:rPr>
      </w:pPr>
    </w:p>
    <w:p>
      <w:pPr>
        <w:spacing w:line="480" w:lineRule="exact"/>
        <w:jc w:val="center"/>
        <w:rPr>
          <w:rFonts w:hint="eastAsia" w:ascii="宋体" w:hAnsi="宋体" w:eastAsia="宋体" w:cs="宋体"/>
          <w:b/>
          <w:color w:val="auto"/>
          <w:sz w:val="24"/>
          <w:highlight w:val="none"/>
        </w:rPr>
      </w:pPr>
    </w:p>
    <w:p>
      <w:pPr>
        <w:pStyle w:val="149"/>
        <w:rPr>
          <w:rFonts w:hint="eastAsia" w:ascii="宋体" w:hAnsi="宋体" w:eastAsia="宋体" w:cs="宋体"/>
          <w:b/>
          <w:color w:val="auto"/>
          <w:sz w:val="24"/>
          <w:highlight w:val="none"/>
        </w:rPr>
      </w:pPr>
    </w:p>
    <w:p>
      <w:pPr>
        <w:spacing w:line="480" w:lineRule="exact"/>
        <w:jc w:val="center"/>
        <w:rPr>
          <w:rFonts w:hint="eastAsia" w:ascii="宋体" w:hAnsi="宋体" w:eastAsia="宋体" w:cs="宋体"/>
          <w:b/>
          <w:color w:val="auto"/>
          <w:sz w:val="24"/>
          <w:highlight w:val="none"/>
        </w:rPr>
      </w:pPr>
    </w:p>
    <w:p>
      <w:pPr>
        <w:pStyle w:val="54"/>
        <w:rPr>
          <w:rFonts w:hint="eastAsia" w:ascii="宋体" w:hAnsi="宋体" w:eastAsia="宋体" w:cs="宋体"/>
          <w:b/>
          <w:color w:val="auto"/>
          <w:sz w:val="24"/>
          <w:highlight w:val="none"/>
        </w:rPr>
      </w:pPr>
    </w:p>
    <w:p>
      <w:pPr>
        <w:pStyle w:val="54"/>
        <w:rPr>
          <w:rFonts w:hint="eastAsia" w:ascii="宋体" w:hAnsi="宋体" w:eastAsia="宋体" w:cs="宋体"/>
          <w:b/>
          <w:color w:val="auto"/>
          <w:sz w:val="24"/>
          <w:highlight w:val="none"/>
        </w:rPr>
      </w:pPr>
    </w:p>
    <w:p>
      <w:pPr>
        <w:spacing w:line="480" w:lineRule="exact"/>
        <w:jc w:val="center"/>
        <w:rPr>
          <w:rFonts w:hint="eastAsia" w:ascii="宋体" w:hAnsi="宋体" w:eastAsia="宋体" w:cs="宋体"/>
          <w:b/>
          <w:color w:val="auto"/>
          <w:sz w:val="24"/>
          <w:highlight w:val="none"/>
        </w:rPr>
      </w:pPr>
    </w:p>
    <w:p>
      <w:pPr>
        <w:spacing w:line="360" w:lineRule="auto"/>
        <w:jc w:val="both"/>
        <w:rPr>
          <w:rFonts w:hint="eastAsia" w:ascii="宋体" w:hAnsi="宋体" w:cs="宋体"/>
          <w:b/>
          <w:color w:val="auto"/>
          <w:sz w:val="36"/>
          <w:szCs w:val="36"/>
          <w:highlight w:val="none"/>
          <w:lang w:eastAsia="zh-CN"/>
        </w:rPr>
      </w:pPr>
      <w:r>
        <w:rPr>
          <w:rFonts w:hint="eastAsia" w:ascii="宋体" w:hAnsi="宋体" w:eastAsia="宋体" w:cs="宋体"/>
          <w:b/>
          <w:color w:val="auto"/>
          <w:sz w:val="36"/>
          <w:szCs w:val="36"/>
          <w:highlight w:val="none"/>
        </w:rPr>
        <w:t>项目名称：</w:t>
      </w:r>
      <w:r>
        <w:rPr>
          <w:rFonts w:hint="eastAsia" w:ascii="宋体" w:hAnsi="宋体" w:cs="宋体"/>
          <w:b/>
          <w:color w:val="auto"/>
          <w:sz w:val="36"/>
          <w:szCs w:val="36"/>
          <w:highlight w:val="none"/>
          <w:lang w:eastAsia="zh-CN"/>
        </w:rPr>
        <w:t>东联路（凌海段）路灯线路维修改造工程</w:t>
      </w:r>
    </w:p>
    <w:p>
      <w:pPr>
        <w:spacing w:line="720" w:lineRule="auto"/>
        <w:jc w:val="left"/>
        <w:rPr>
          <w:rFonts w:hint="eastAsia" w:ascii="宋体" w:hAnsi="宋体" w:cs="宋体"/>
          <w:b/>
          <w:color w:val="auto"/>
          <w:sz w:val="36"/>
          <w:szCs w:val="36"/>
          <w:highlight w:val="none"/>
          <w:lang w:eastAsia="zh-CN"/>
        </w:rPr>
      </w:pPr>
      <w:r>
        <w:rPr>
          <w:rFonts w:hint="eastAsia" w:ascii="宋体" w:hAnsi="宋体" w:eastAsia="宋体" w:cs="宋体"/>
          <w:b/>
          <w:color w:val="auto"/>
          <w:sz w:val="36"/>
          <w:szCs w:val="36"/>
          <w:highlight w:val="none"/>
        </w:rPr>
        <w:t>项目编号：JH22-210781-00100</w:t>
      </w:r>
    </w:p>
    <w:p>
      <w:pPr>
        <w:spacing w:line="360" w:lineRule="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编制单位：</w:t>
      </w:r>
      <w:r>
        <w:rPr>
          <w:rFonts w:hint="eastAsia" w:ascii="宋体" w:hAnsi="宋体" w:cs="宋体"/>
          <w:b/>
          <w:color w:val="auto"/>
          <w:sz w:val="36"/>
          <w:szCs w:val="36"/>
          <w:highlight w:val="none"/>
          <w:lang w:eastAsia="zh-CN"/>
        </w:rPr>
        <w:t>辽宁铁龙项目管理有限责任公司</w:t>
      </w:r>
    </w:p>
    <w:p>
      <w:pPr>
        <w:spacing w:line="480" w:lineRule="exact"/>
        <w:jc w:val="center"/>
        <w:rPr>
          <w:rFonts w:hint="eastAsia" w:ascii="宋体" w:hAnsi="宋体" w:eastAsia="宋体" w:cs="宋体"/>
          <w:b/>
          <w:color w:val="auto"/>
          <w:sz w:val="24"/>
          <w:highlight w:val="none"/>
        </w:rPr>
      </w:pPr>
    </w:p>
    <w:p>
      <w:pPr>
        <w:pStyle w:val="126"/>
        <w:jc w:val="center"/>
        <w:rPr>
          <w:rFonts w:hint="eastAsia" w:ascii="宋体" w:hAnsi="宋体" w:eastAsia="宋体" w:cs="宋体"/>
          <w:color w:val="auto"/>
          <w:sz w:val="44"/>
          <w:szCs w:val="44"/>
          <w:highlight w:val="none"/>
          <w:lang w:val="zh-CN"/>
        </w:rPr>
        <w:sectPr>
          <w:footerReference r:id="rId3" w:type="default"/>
          <w:pgSz w:w="11906" w:h="16838"/>
          <w:pgMar w:top="1440" w:right="1803" w:bottom="1440" w:left="1803" w:header="851" w:footer="992" w:gutter="0"/>
          <w:pgNumType w:fmt="decimal"/>
          <w:cols w:space="720" w:num="1"/>
          <w:docGrid w:type="lines" w:linePitch="312" w:charSpace="0"/>
        </w:sectPr>
      </w:pPr>
      <w:bookmarkStart w:id="0" w:name="_Toc3605"/>
    </w:p>
    <w:p>
      <w:pPr>
        <w:pStyle w:val="126"/>
        <w:jc w:val="center"/>
        <w:rPr>
          <w:rFonts w:hint="eastAsia" w:ascii="宋体" w:hAnsi="宋体" w:eastAsia="宋体" w:cs="宋体"/>
          <w:color w:val="auto"/>
          <w:sz w:val="44"/>
          <w:szCs w:val="44"/>
          <w:highlight w:val="none"/>
          <w:lang w:val="zh-CN"/>
        </w:rPr>
      </w:pPr>
      <w:bookmarkStart w:id="1" w:name="_Toc10582"/>
      <w:r>
        <w:rPr>
          <w:rFonts w:hint="eastAsia" w:ascii="宋体" w:hAnsi="宋体" w:eastAsia="宋体" w:cs="宋体"/>
          <w:color w:val="auto"/>
          <w:sz w:val="44"/>
          <w:szCs w:val="44"/>
          <w:highlight w:val="none"/>
          <w:lang w:val="zh-CN"/>
        </w:rPr>
        <w:t>目  录</w:t>
      </w:r>
      <w:bookmarkEnd w:id="0"/>
      <w:bookmarkEnd w:id="1"/>
    </w:p>
    <w:p>
      <w:pPr>
        <w:rPr>
          <w:rFonts w:hint="eastAsia" w:ascii="宋体" w:hAnsi="宋体" w:eastAsia="宋体" w:cs="宋体"/>
          <w:color w:val="auto"/>
          <w:sz w:val="44"/>
          <w:szCs w:val="44"/>
          <w:highlight w:val="none"/>
          <w:lang w:val="zh-CN"/>
        </w:rPr>
      </w:pPr>
    </w:p>
    <w:p>
      <w:pPr>
        <w:pStyle w:val="149"/>
        <w:rPr>
          <w:rFonts w:hint="eastAsia"/>
          <w:color w:val="auto"/>
          <w:highlight w:val="none"/>
          <w:lang w:val="zh-CN"/>
        </w:rPr>
      </w:pPr>
    </w:p>
    <w:p>
      <w:pPr>
        <w:pStyle w:val="30"/>
        <w:keepNext w:val="0"/>
        <w:keepLines w:val="0"/>
        <w:pageBreakBefore w:val="0"/>
        <w:widowControl w:val="0"/>
        <w:tabs>
          <w:tab w:val="right" w:leader="dot" w:pos="8300"/>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TOC \o "1-1" \h \u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_Toc31322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lang w:eastAsia="zh-CN"/>
        </w:rPr>
        <w:t>竞争性磋商</w:t>
      </w:r>
      <w:r>
        <w:rPr>
          <w:rFonts w:hint="eastAsia" w:ascii="宋体" w:hAnsi="宋体" w:eastAsia="宋体" w:cs="宋体"/>
          <w:color w:val="auto"/>
          <w:sz w:val="28"/>
          <w:szCs w:val="28"/>
          <w:highlight w:val="none"/>
        </w:rPr>
        <w:t>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_Toc31322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30"/>
        <w:keepNext w:val="0"/>
        <w:keepLines w:val="0"/>
        <w:pageBreakBefore w:val="0"/>
        <w:widowControl w:val="0"/>
        <w:tabs>
          <w:tab w:val="right" w:leader="dot" w:pos="8300"/>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_Toc13208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第一章 供应商须知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_Toc13208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30"/>
        <w:keepNext w:val="0"/>
        <w:keepLines w:val="0"/>
        <w:pageBreakBefore w:val="0"/>
        <w:widowControl w:val="0"/>
        <w:tabs>
          <w:tab w:val="right" w:leader="dot" w:pos="8300"/>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_Toc7921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第二章 响应文件内容及格式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_Toc7921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30"/>
        <w:keepNext w:val="0"/>
        <w:keepLines w:val="0"/>
        <w:pageBreakBefore w:val="0"/>
        <w:widowControl w:val="0"/>
        <w:tabs>
          <w:tab w:val="right" w:leader="dot" w:pos="8300"/>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_Toc30554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第三章 技术要求及工程量清单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_Toc30554 </w:instrText>
      </w:r>
      <w:r>
        <w:rPr>
          <w:color w:val="auto"/>
          <w:sz w:val="28"/>
          <w:szCs w:val="28"/>
          <w:highlight w:val="none"/>
        </w:rPr>
        <w:fldChar w:fldCharType="separate"/>
      </w:r>
      <w:r>
        <w:rPr>
          <w:color w:val="auto"/>
          <w:sz w:val="28"/>
          <w:szCs w:val="28"/>
          <w:highlight w:val="none"/>
        </w:rPr>
        <w:t>60</w:t>
      </w:r>
      <w:r>
        <w:rPr>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30"/>
        <w:keepNext w:val="0"/>
        <w:keepLines w:val="0"/>
        <w:pageBreakBefore w:val="0"/>
        <w:widowControl w:val="0"/>
        <w:tabs>
          <w:tab w:val="right" w:leader="dot" w:pos="8300"/>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_Toc16307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第四章 磋商内容、磋商过程中可能实质性变动的内容</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_Toc16307 </w:instrText>
      </w:r>
      <w:r>
        <w:rPr>
          <w:color w:val="auto"/>
          <w:sz w:val="28"/>
          <w:szCs w:val="28"/>
          <w:highlight w:val="none"/>
        </w:rPr>
        <w:fldChar w:fldCharType="separate"/>
      </w:r>
      <w:r>
        <w:rPr>
          <w:color w:val="auto"/>
          <w:sz w:val="28"/>
          <w:szCs w:val="28"/>
          <w:highlight w:val="none"/>
        </w:rPr>
        <w:t>63</w:t>
      </w:r>
      <w:r>
        <w:rPr>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30"/>
        <w:keepNext w:val="0"/>
        <w:keepLines w:val="0"/>
        <w:pageBreakBefore w:val="0"/>
        <w:widowControl w:val="0"/>
        <w:tabs>
          <w:tab w:val="right" w:leader="dot" w:pos="8300"/>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_Toc20247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第五章 评审办法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_Toc20247 </w:instrText>
      </w:r>
      <w:r>
        <w:rPr>
          <w:color w:val="auto"/>
          <w:sz w:val="28"/>
          <w:szCs w:val="28"/>
          <w:highlight w:val="none"/>
        </w:rPr>
        <w:fldChar w:fldCharType="separate"/>
      </w:r>
      <w:r>
        <w:rPr>
          <w:color w:val="auto"/>
          <w:sz w:val="28"/>
          <w:szCs w:val="28"/>
          <w:highlight w:val="none"/>
        </w:rPr>
        <w:t>64</w:t>
      </w:r>
      <w:r>
        <w:rPr>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pPr>
        <w:pStyle w:val="30"/>
        <w:keepNext w:val="0"/>
        <w:keepLines w:val="0"/>
        <w:pageBreakBefore w:val="0"/>
        <w:widowControl w:val="0"/>
        <w:tabs>
          <w:tab w:val="right" w:leader="dot" w:pos="8300"/>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ascii="宋体" w:hAnsi="宋体" w:eastAsia="宋体" w:cs="宋体"/>
          <w:bCs/>
          <w:color w:val="auto"/>
          <w:sz w:val="28"/>
          <w:szCs w:val="28"/>
          <w:highlight w:val="none"/>
        </w:rPr>
        <w:fldChar w:fldCharType="begin"/>
      </w:r>
      <w:r>
        <w:rPr>
          <w:rFonts w:hint="eastAsia" w:ascii="宋体" w:hAnsi="宋体" w:eastAsia="宋体" w:cs="宋体"/>
          <w:bCs/>
          <w:color w:val="auto"/>
          <w:sz w:val="28"/>
          <w:szCs w:val="28"/>
          <w:highlight w:val="none"/>
        </w:rPr>
        <w:instrText xml:space="preserve"> HYPERLINK \l _Toc4110 </w:instrText>
      </w:r>
      <w:r>
        <w:rPr>
          <w:rFonts w:hint="eastAsia" w:ascii="宋体" w:hAnsi="宋体" w:eastAsia="宋体" w:cs="宋体"/>
          <w:bCs/>
          <w:color w:val="auto"/>
          <w:sz w:val="28"/>
          <w:szCs w:val="28"/>
          <w:highlight w:val="none"/>
        </w:rPr>
        <w:fldChar w:fldCharType="separate"/>
      </w:r>
      <w:r>
        <w:rPr>
          <w:rFonts w:hint="eastAsia" w:ascii="宋体" w:hAnsi="宋体" w:eastAsia="宋体" w:cs="宋体"/>
          <w:color w:val="auto"/>
          <w:sz w:val="28"/>
          <w:szCs w:val="28"/>
          <w:highlight w:val="none"/>
        </w:rPr>
        <w:t>第六章 合同条款及格式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_Toc4110 </w:instrText>
      </w:r>
      <w:r>
        <w:rPr>
          <w:color w:val="auto"/>
          <w:sz w:val="28"/>
          <w:szCs w:val="28"/>
          <w:highlight w:val="none"/>
        </w:rPr>
        <w:fldChar w:fldCharType="separate"/>
      </w:r>
      <w:r>
        <w:rPr>
          <w:color w:val="auto"/>
          <w:sz w:val="28"/>
          <w:szCs w:val="28"/>
          <w:highlight w:val="none"/>
        </w:rPr>
        <w:t>71</w:t>
      </w:r>
      <w:r>
        <w:rPr>
          <w:color w:val="auto"/>
          <w:sz w:val="28"/>
          <w:szCs w:val="28"/>
          <w:highlight w:val="none"/>
        </w:rPr>
        <w:fldChar w:fldCharType="end"/>
      </w:r>
      <w:r>
        <w:rPr>
          <w:rFonts w:hint="eastAsia" w:ascii="宋体" w:hAnsi="宋体" w:eastAsia="宋体" w:cs="宋体"/>
          <w:bCs/>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highlight w:val="none"/>
        </w:rPr>
      </w:pPr>
      <w:r>
        <w:rPr>
          <w:rFonts w:hint="eastAsia" w:ascii="宋体" w:hAnsi="宋体" w:eastAsia="宋体" w:cs="宋体"/>
          <w:bCs/>
          <w:color w:val="auto"/>
          <w:sz w:val="28"/>
          <w:szCs w:val="28"/>
          <w:highlight w:val="none"/>
        </w:rPr>
        <w:fldChar w:fldCharType="end"/>
      </w:r>
    </w:p>
    <w:p>
      <w:pPr>
        <w:pStyle w:val="129"/>
        <w:tabs>
          <w:tab w:val="right" w:leader="dot" w:pos="8306"/>
        </w:tabs>
        <w:rPr>
          <w:rFonts w:hint="eastAsia" w:ascii="宋体" w:hAnsi="宋体" w:eastAsia="宋体" w:cs="宋体"/>
          <w:color w:val="auto"/>
          <w:highlight w:val="none"/>
        </w:rPr>
      </w:pPr>
    </w:p>
    <w:p>
      <w:pPr>
        <w:pStyle w:val="129"/>
        <w:tabs>
          <w:tab w:val="right" w:leader="dot" w:pos="8306"/>
        </w:tabs>
        <w:rPr>
          <w:rFonts w:hint="eastAsia" w:ascii="宋体" w:hAnsi="宋体" w:eastAsia="宋体" w:cs="宋体"/>
          <w:color w:val="auto"/>
          <w:highlight w:val="none"/>
        </w:rPr>
      </w:pPr>
    </w:p>
    <w:p>
      <w:pPr>
        <w:pStyle w:val="129"/>
        <w:tabs>
          <w:tab w:val="right" w:leader="dot" w:pos="8306"/>
        </w:tabs>
        <w:rPr>
          <w:rFonts w:hint="eastAsia" w:ascii="宋体" w:hAnsi="宋体" w:eastAsia="宋体" w:cs="宋体"/>
          <w:color w:val="auto"/>
          <w:highlight w:val="none"/>
        </w:rPr>
      </w:pPr>
    </w:p>
    <w:p>
      <w:pPr>
        <w:pStyle w:val="129"/>
        <w:tabs>
          <w:tab w:val="right" w:leader="dot" w:pos="8306"/>
        </w:tabs>
        <w:rPr>
          <w:rFonts w:hint="eastAsia" w:ascii="宋体" w:hAnsi="宋体" w:eastAsia="宋体" w:cs="宋体"/>
          <w:color w:val="auto"/>
          <w:highlight w:val="none"/>
        </w:rPr>
      </w:pPr>
    </w:p>
    <w:p>
      <w:pPr>
        <w:pStyle w:val="129"/>
        <w:tabs>
          <w:tab w:val="left" w:pos="1834"/>
          <w:tab w:val="right" w:leader="dot" w:pos="8306"/>
        </w:tabs>
        <w:rPr>
          <w:rFonts w:hint="eastAsia" w:ascii="宋体" w:hAnsi="宋体" w:eastAsia="宋体" w:cs="宋体"/>
          <w:b/>
          <w:bCs/>
          <w:color w:val="auto"/>
          <w:highlight w:val="none"/>
        </w:rPr>
      </w:pPr>
      <w:r>
        <w:rPr>
          <w:rFonts w:hint="eastAsia" w:ascii="宋体" w:hAnsi="宋体" w:eastAsia="宋体" w:cs="宋体"/>
          <w:b/>
          <w:bCs/>
          <w:color w:val="auto"/>
          <w:highlight w:val="none"/>
        </w:rPr>
        <w:tab/>
      </w:r>
    </w:p>
    <w:p>
      <w:pPr>
        <w:adjustRightInd w:val="0"/>
        <w:snapToGrid w:val="0"/>
        <w:spacing w:line="360" w:lineRule="auto"/>
        <w:jc w:val="center"/>
        <w:rPr>
          <w:rFonts w:hint="eastAsia" w:ascii="宋体" w:hAnsi="宋体" w:eastAsia="宋体" w:cs="宋体"/>
          <w:bCs/>
          <w:color w:val="auto"/>
          <w:highlight w:val="none"/>
        </w:rPr>
        <w:sectPr>
          <w:footerReference r:id="rId4" w:type="default"/>
          <w:pgSz w:w="11906" w:h="16838"/>
          <w:pgMar w:top="1440" w:right="1803" w:bottom="1440" w:left="1803" w:header="851" w:footer="992" w:gutter="0"/>
          <w:pgNumType w:fmt="decimal" w:start="1"/>
          <w:cols w:space="720" w:num="1"/>
          <w:docGrid w:type="lines" w:linePitch="312" w:charSpace="0"/>
        </w:sectPr>
      </w:pPr>
      <w:r>
        <w:rPr>
          <w:rFonts w:hint="eastAsia" w:ascii="宋体" w:hAnsi="宋体" w:eastAsia="宋体" w:cs="宋体"/>
          <w:bCs/>
          <w:color w:val="auto"/>
          <w:highlight w:val="none"/>
        </w:rPr>
        <w:tab/>
      </w:r>
      <w:r>
        <w:rPr>
          <w:rFonts w:hint="eastAsia" w:ascii="宋体" w:hAnsi="宋体" w:eastAsia="宋体" w:cs="宋体"/>
          <w:bCs/>
          <w:color w:val="auto"/>
          <w:highlight w:val="none"/>
        </w:rPr>
        <w:tab/>
      </w:r>
      <w:bookmarkStart w:id="2" w:name="_Toc4485616"/>
    </w:p>
    <w:bookmarkEnd w:id="2"/>
    <w:p>
      <w:pPr>
        <w:pStyle w:val="6"/>
        <w:adjustRightInd w:val="0"/>
        <w:snapToGrid w:val="0"/>
        <w:spacing w:before="0" w:after="0" w:line="360" w:lineRule="auto"/>
        <w:jc w:val="center"/>
        <w:rPr>
          <w:rFonts w:hint="eastAsia"/>
          <w:highlight w:val="none"/>
          <w:lang w:eastAsia="zh-CN"/>
        </w:rPr>
      </w:pPr>
      <w:bookmarkStart w:id="3" w:name="_Toc31322"/>
      <w:bookmarkStart w:id="4" w:name="_Toc4485617"/>
      <w:bookmarkStart w:id="5" w:name="_Toc13208"/>
      <w:r>
        <w:rPr>
          <w:rFonts w:hint="eastAsia" w:ascii="宋体" w:hAnsi="宋体" w:cs="宋体"/>
          <w:color w:val="auto"/>
          <w:sz w:val="36"/>
          <w:szCs w:val="36"/>
          <w:highlight w:val="none"/>
          <w:lang w:eastAsia="zh-CN"/>
        </w:rPr>
        <w:t>东联路（凌海段）路灯线路维修改造工程</w:t>
      </w:r>
    </w:p>
    <w:p>
      <w:pPr>
        <w:pStyle w:val="6"/>
        <w:adjustRightInd w:val="0"/>
        <w:snapToGrid w:val="0"/>
        <w:spacing w:before="0" w:after="0" w:line="360" w:lineRule="auto"/>
        <w:jc w:val="center"/>
        <w:rPr>
          <w:rFonts w:hint="eastAsia" w:ascii="宋体" w:hAnsi="宋体" w:eastAsia="宋体" w:cs="宋体"/>
          <w:bCs/>
          <w:color w:val="auto"/>
          <w:highlight w:val="none"/>
        </w:rPr>
      </w:pPr>
      <w:r>
        <w:rPr>
          <w:rFonts w:hint="eastAsia" w:ascii="宋体" w:hAnsi="宋体" w:eastAsia="宋体" w:cs="宋体"/>
          <w:color w:val="auto"/>
          <w:sz w:val="30"/>
          <w:szCs w:val="30"/>
          <w:highlight w:val="none"/>
          <w:lang w:eastAsia="zh-CN"/>
        </w:rPr>
        <w:t>竞争性磋商</w:t>
      </w:r>
      <w:r>
        <w:rPr>
          <w:rFonts w:hint="eastAsia" w:ascii="宋体" w:hAnsi="宋体" w:eastAsia="宋体" w:cs="宋体"/>
          <w:color w:val="auto"/>
          <w:sz w:val="30"/>
          <w:szCs w:val="30"/>
          <w:highlight w:val="none"/>
        </w:rPr>
        <w:t>公告</w:t>
      </w:r>
      <w:bookmarkEnd w:id="3"/>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u w:val="single"/>
        </w:rPr>
        <w:t xml:space="preserve"> (</w:t>
      </w:r>
      <w:r>
        <w:rPr>
          <w:rFonts w:hint="eastAsia" w:ascii="宋体" w:hAnsi="宋体" w:cs="宋体"/>
          <w:i w:val="0"/>
          <w:iCs w:val="0"/>
          <w:sz w:val="21"/>
          <w:szCs w:val="21"/>
          <w:highlight w:val="none"/>
          <w:u w:val="single"/>
          <w:lang w:eastAsia="zh-CN"/>
        </w:rPr>
        <w:t>东联路（凌海段）路灯线路维修改造工程</w:t>
      </w:r>
      <w:r>
        <w:rPr>
          <w:rFonts w:hint="eastAsia" w:ascii="宋体" w:hAnsi="宋体" w:eastAsia="宋体" w:cs="宋体"/>
          <w:i w:val="0"/>
          <w:iCs w:val="0"/>
          <w:sz w:val="21"/>
          <w:szCs w:val="21"/>
          <w:highlight w:val="none"/>
          <w:u w:val="single"/>
        </w:rPr>
        <w:t>)</w:t>
      </w:r>
      <w:r>
        <w:rPr>
          <w:rFonts w:hint="eastAsia" w:ascii="宋体" w:hAnsi="宋体" w:eastAsia="宋体" w:cs="宋体"/>
          <w:i w:val="0"/>
          <w:iCs w:val="0"/>
          <w:sz w:val="21"/>
          <w:szCs w:val="21"/>
          <w:highlight w:val="none"/>
        </w:rPr>
        <w:t xml:space="preserve"> </w:t>
      </w:r>
      <w:r>
        <w:rPr>
          <w:rFonts w:hint="eastAsia" w:ascii="宋体" w:hAnsi="宋体" w:eastAsia="宋体" w:cs="宋体"/>
          <w:szCs w:val="21"/>
          <w:highlight w:val="none"/>
          <w:u w:val="single"/>
        </w:rPr>
        <w:t>采购项目的潜在供应商应在</w:t>
      </w:r>
      <w:r>
        <w:rPr>
          <w:rFonts w:hint="eastAsia" w:ascii="宋体" w:hAnsi="宋体" w:eastAsia="宋体" w:cs="宋体"/>
          <w:szCs w:val="21"/>
          <w:highlight w:val="none"/>
          <w:u w:val="single"/>
          <w:lang w:eastAsia="zh-CN"/>
        </w:rPr>
        <w:t>线上</w:t>
      </w:r>
      <w:r>
        <w:rPr>
          <w:rFonts w:hint="eastAsia" w:ascii="宋体" w:hAnsi="宋体" w:eastAsia="宋体" w:cs="宋体"/>
          <w:szCs w:val="21"/>
          <w:highlight w:val="none"/>
          <w:u w:val="single"/>
        </w:rPr>
        <w:t>获取采购文件</w:t>
      </w:r>
      <w:r>
        <w:rPr>
          <w:rFonts w:hint="eastAsia" w:ascii="宋体" w:hAnsi="宋体" w:eastAsia="宋体" w:cs="宋体"/>
          <w:i w:val="0"/>
          <w:iCs w:val="0"/>
          <w:sz w:val="21"/>
          <w:szCs w:val="21"/>
          <w:highlight w:val="none"/>
        </w:rPr>
        <w:t>，并于</w:t>
      </w:r>
      <w:r>
        <w:rPr>
          <w:rFonts w:hint="eastAsia" w:ascii="宋体" w:hAnsi="宋体" w:eastAsia="宋体" w:cs="宋体"/>
          <w:i w:val="0"/>
          <w:iCs w:val="0"/>
          <w:sz w:val="21"/>
          <w:szCs w:val="21"/>
          <w:highlight w:val="none"/>
          <w:u w:val="single"/>
          <w:lang w:val="en-US" w:eastAsia="zh-CN"/>
        </w:rPr>
        <w:t>2022 年12月</w:t>
      </w:r>
      <w:r>
        <w:rPr>
          <w:rFonts w:hint="eastAsia" w:ascii="宋体" w:hAnsi="宋体" w:cs="宋体"/>
          <w:i w:val="0"/>
          <w:iCs w:val="0"/>
          <w:sz w:val="21"/>
          <w:szCs w:val="21"/>
          <w:highlight w:val="none"/>
          <w:u w:val="single"/>
          <w:lang w:val="en-US" w:eastAsia="zh-CN"/>
        </w:rPr>
        <w:t>19</w:t>
      </w:r>
      <w:r>
        <w:rPr>
          <w:rFonts w:hint="eastAsia" w:ascii="宋体" w:hAnsi="宋体" w:eastAsia="宋体" w:cs="宋体"/>
          <w:i w:val="0"/>
          <w:iCs w:val="0"/>
          <w:sz w:val="21"/>
          <w:szCs w:val="21"/>
          <w:highlight w:val="none"/>
          <w:u w:val="single"/>
          <w:lang w:val="en-US" w:eastAsia="zh-CN"/>
        </w:rPr>
        <w:t>日</w:t>
      </w:r>
      <w:r>
        <w:rPr>
          <w:rFonts w:hint="eastAsia" w:ascii="宋体" w:hAnsi="宋体" w:cs="宋体"/>
          <w:i w:val="0"/>
          <w:iCs w:val="0"/>
          <w:sz w:val="21"/>
          <w:szCs w:val="21"/>
          <w:highlight w:val="none"/>
          <w:u w:val="single"/>
          <w:lang w:val="en-US" w:eastAsia="zh-CN"/>
        </w:rPr>
        <w:t>14</w:t>
      </w:r>
      <w:r>
        <w:rPr>
          <w:rFonts w:hint="eastAsia" w:ascii="宋体" w:hAnsi="宋体" w:eastAsia="宋体" w:cs="宋体"/>
          <w:i w:val="0"/>
          <w:iCs w:val="0"/>
          <w:sz w:val="21"/>
          <w:szCs w:val="21"/>
          <w:highlight w:val="none"/>
          <w:u w:val="single"/>
          <w:lang w:val="en-US" w:eastAsia="zh-CN"/>
        </w:rPr>
        <w:t xml:space="preserve">点 </w:t>
      </w:r>
      <w:r>
        <w:rPr>
          <w:rFonts w:hint="eastAsia" w:ascii="宋体" w:hAnsi="宋体" w:cs="宋体"/>
          <w:i w:val="0"/>
          <w:iCs w:val="0"/>
          <w:sz w:val="21"/>
          <w:szCs w:val="21"/>
          <w:highlight w:val="none"/>
          <w:u w:val="single"/>
          <w:lang w:val="en-US" w:eastAsia="zh-CN"/>
        </w:rPr>
        <w:t>0</w:t>
      </w:r>
      <w:r>
        <w:rPr>
          <w:rFonts w:hint="eastAsia" w:ascii="宋体" w:hAnsi="宋体" w:eastAsia="宋体" w:cs="宋体"/>
          <w:i w:val="0"/>
          <w:iCs w:val="0"/>
          <w:sz w:val="21"/>
          <w:szCs w:val="21"/>
          <w:highlight w:val="none"/>
          <w:u w:val="single"/>
          <w:lang w:val="en-US" w:eastAsia="zh-CN"/>
        </w:rPr>
        <w:t>0分</w:t>
      </w:r>
      <w:r>
        <w:rPr>
          <w:rFonts w:hint="eastAsia" w:ascii="宋体" w:hAnsi="宋体" w:eastAsia="宋体" w:cs="宋体"/>
          <w:bCs/>
          <w:sz w:val="21"/>
          <w:szCs w:val="21"/>
          <w:highlight w:val="none"/>
        </w:rPr>
        <w:t>（北京时间）</w:t>
      </w:r>
      <w:r>
        <w:rPr>
          <w:rFonts w:hint="eastAsia" w:ascii="宋体" w:hAnsi="宋体" w:eastAsia="宋体" w:cs="宋体"/>
          <w:bCs/>
          <w:i w:val="0"/>
          <w:iCs w:val="0"/>
          <w:sz w:val="21"/>
          <w:szCs w:val="21"/>
          <w:highlight w:val="none"/>
        </w:rPr>
        <w:t>前提交</w:t>
      </w:r>
      <w:r>
        <w:rPr>
          <w:rFonts w:hint="eastAsia" w:ascii="宋体" w:hAnsi="宋体" w:eastAsia="宋体" w:cs="宋体"/>
          <w:bCs/>
          <w:i w:val="0"/>
          <w:iCs w:val="0"/>
          <w:sz w:val="21"/>
          <w:szCs w:val="21"/>
          <w:highlight w:val="none"/>
          <w:lang w:eastAsia="zh-CN"/>
        </w:rPr>
        <w:t>投标文件</w:t>
      </w:r>
      <w:r>
        <w:rPr>
          <w:rFonts w:hint="eastAsia" w:ascii="宋体" w:hAnsi="宋体" w:eastAsia="宋体" w:cs="宋体"/>
          <w:i w:val="0"/>
          <w:iCs w:val="0"/>
          <w:sz w:val="21"/>
          <w:szCs w:val="21"/>
          <w:highlight w:val="none"/>
        </w:rPr>
        <w:t>。</w:t>
      </w:r>
    </w:p>
    <w:p>
      <w:pPr>
        <w:keepNext/>
        <w:keepLines/>
        <w:pageBreakBefore w:val="0"/>
        <w:widowControl w:val="0"/>
        <w:kinsoku/>
        <w:wordWrap/>
        <w:overflowPunct/>
        <w:topLinePunct w:val="0"/>
        <w:autoSpaceDE/>
        <w:autoSpaceDN/>
        <w:bidi w:val="0"/>
        <w:spacing w:before="260" w:after="260" w:line="360" w:lineRule="auto"/>
        <w:jc w:val="both"/>
        <w:textAlignment w:val="auto"/>
        <w:outlineLvl w:val="1"/>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一、项目基本情况</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项目编号：JH22-210781-00100</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项目名称：</w:t>
      </w:r>
      <w:r>
        <w:rPr>
          <w:rFonts w:hint="eastAsia" w:ascii="宋体" w:hAnsi="宋体" w:cs="宋体"/>
          <w:sz w:val="21"/>
          <w:szCs w:val="21"/>
          <w:highlight w:val="none"/>
          <w:lang w:eastAsia="zh-CN"/>
        </w:rPr>
        <w:t>东联路（凌海段）路灯线路维修改造工程</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预算金额：</w:t>
      </w:r>
      <w:r>
        <w:rPr>
          <w:rFonts w:hint="eastAsia" w:ascii="宋体" w:hAnsi="宋体" w:cs="宋体"/>
          <w:sz w:val="21"/>
          <w:szCs w:val="21"/>
          <w:highlight w:val="none"/>
          <w:lang w:val="en-US" w:eastAsia="zh-CN"/>
        </w:rPr>
        <w:t>1651100.00</w:t>
      </w:r>
      <w:r>
        <w:rPr>
          <w:rFonts w:hint="eastAsia" w:ascii="宋体" w:hAnsi="宋体" w:eastAsia="宋体" w:cs="宋体"/>
          <w:sz w:val="21"/>
          <w:szCs w:val="21"/>
          <w:highlight w:val="none"/>
          <w:lang w:val="en-US" w:eastAsia="zh-CN"/>
        </w:rPr>
        <w:t>元</w:t>
      </w:r>
      <w:r>
        <w:rPr>
          <w:rFonts w:hint="eastAsia" w:ascii="宋体" w:hAnsi="宋体" w:eastAsia="宋体" w:cs="宋体"/>
          <w:sz w:val="21"/>
          <w:szCs w:val="21"/>
          <w:highlight w:val="none"/>
        </w:rPr>
        <w:t>人民币</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最高限价：</w:t>
      </w:r>
      <w:r>
        <w:rPr>
          <w:rFonts w:hint="eastAsia" w:ascii="宋体" w:hAnsi="宋体" w:cs="宋体"/>
          <w:sz w:val="21"/>
          <w:szCs w:val="21"/>
          <w:highlight w:val="none"/>
          <w:lang w:val="en-US" w:eastAsia="zh-CN"/>
        </w:rPr>
        <w:t>1651082.08</w:t>
      </w:r>
      <w:r>
        <w:rPr>
          <w:rFonts w:hint="eastAsia" w:ascii="宋体" w:hAnsi="宋体" w:eastAsia="宋体" w:cs="宋体"/>
          <w:sz w:val="21"/>
          <w:szCs w:val="21"/>
          <w:highlight w:val="none"/>
          <w:lang w:val="en-US" w:eastAsia="zh-CN"/>
        </w:rPr>
        <w:t>元</w:t>
      </w:r>
      <w:r>
        <w:rPr>
          <w:rFonts w:hint="eastAsia" w:ascii="宋体" w:hAnsi="宋体" w:eastAsia="宋体" w:cs="宋体"/>
          <w:sz w:val="21"/>
          <w:szCs w:val="21"/>
          <w:highlight w:val="none"/>
        </w:rPr>
        <w:t>人民币</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000000"/>
          <w:szCs w:val="21"/>
          <w:highlight w:val="none"/>
        </w:rPr>
      </w:pPr>
      <w:r>
        <w:rPr>
          <w:rFonts w:hint="eastAsia" w:ascii="宋体" w:hAnsi="宋体" w:eastAsia="宋体" w:cs="宋体"/>
          <w:i w:val="0"/>
          <w:iCs w:val="0"/>
          <w:sz w:val="21"/>
          <w:szCs w:val="21"/>
          <w:highlight w:val="none"/>
        </w:rPr>
        <w:t>采购需求：</w:t>
      </w:r>
      <w:r>
        <w:rPr>
          <w:rFonts w:hint="eastAsia" w:ascii="宋体" w:hAnsi="宋体" w:eastAsia="宋体" w:cs="宋体"/>
          <w:color w:val="000000"/>
          <w:szCs w:val="21"/>
          <w:highlight w:val="none"/>
        </w:rPr>
        <w:t>工程量清单所列全部内容</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i w:val="0"/>
          <w:iCs w:val="0"/>
          <w:sz w:val="21"/>
          <w:szCs w:val="21"/>
          <w:highlight w:val="none"/>
          <w:lang w:val="en-US" w:eastAsia="zh-CN"/>
        </w:rPr>
      </w:pPr>
      <w:r>
        <w:rPr>
          <w:rFonts w:hint="eastAsia" w:ascii="宋体" w:hAnsi="宋体" w:eastAsia="宋体" w:cs="宋体"/>
          <w:i w:val="0"/>
          <w:iCs w:val="0"/>
          <w:sz w:val="21"/>
          <w:szCs w:val="21"/>
          <w:highlight w:val="none"/>
          <w:lang w:eastAsia="zh-CN"/>
        </w:rPr>
        <w:t>建设地点：锦州市</w:t>
      </w:r>
      <w:r>
        <w:rPr>
          <w:rFonts w:hint="eastAsia" w:ascii="宋体" w:hAnsi="宋体" w:cs="宋体"/>
          <w:i w:val="0"/>
          <w:iCs w:val="0"/>
          <w:sz w:val="21"/>
          <w:szCs w:val="21"/>
          <w:highlight w:val="none"/>
          <w:lang w:eastAsia="zh-CN"/>
        </w:rPr>
        <w:t>凌海市</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合同履行期限：</w:t>
      </w:r>
      <w:r>
        <w:rPr>
          <w:rFonts w:hint="eastAsia" w:ascii="宋体" w:hAnsi="宋体" w:cs="宋体"/>
          <w:sz w:val="21"/>
          <w:szCs w:val="21"/>
          <w:highlight w:val="none"/>
          <w:lang w:val="en-US" w:eastAsia="zh-CN"/>
        </w:rPr>
        <w:t>25</w:t>
      </w:r>
      <w:r>
        <w:rPr>
          <w:rFonts w:hint="eastAsia" w:ascii="宋体" w:hAnsi="宋体" w:eastAsia="宋体" w:cs="宋体"/>
          <w:sz w:val="21"/>
          <w:szCs w:val="21"/>
          <w:highlight w:val="none"/>
          <w:lang w:val="en-US" w:eastAsia="zh-CN"/>
        </w:rPr>
        <w:t>日历天（建设单位可根据实际情况调整开竣工时间）</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需落实的政府采购政策内容：中小微企业、监狱企业、残疾人福利性单位、节能产品、环境标志产品</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本项目（否）接受联合体。</w:t>
      </w:r>
    </w:p>
    <w:p>
      <w:pPr>
        <w:keepNext/>
        <w:keepLines/>
        <w:pageBreakBefore w:val="0"/>
        <w:widowControl w:val="0"/>
        <w:numPr>
          <w:ilvl w:val="0"/>
          <w:numId w:val="8"/>
        </w:numPr>
        <w:kinsoku/>
        <w:wordWrap/>
        <w:overflowPunct/>
        <w:topLinePunct w:val="0"/>
        <w:autoSpaceDE/>
        <w:autoSpaceDN/>
        <w:bidi w:val="0"/>
        <w:spacing w:before="260" w:after="260" w:line="360" w:lineRule="auto"/>
        <w:jc w:val="both"/>
        <w:textAlignment w:val="auto"/>
        <w:outlineLvl w:val="1"/>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供应商的资格要求：</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1.满足《中华人民共和国政府采购法》第二十二条规定；</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i/>
          <w:iCs/>
          <w:sz w:val="21"/>
          <w:szCs w:val="21"/>
          <w:highlight w:val="none"/>
          <w:lang w:val="en-US" w:eastAsia="zh-CN"/>
        </w:rPr>
      </w:pPr>
      <w:r>
        <w:rPr>
          <w:rFonts w:hint="eastAsia" w:ascii="宋体" w:hAnsi="宋体" w:eastAsia="宋体" w:cs="宋体"/>
          <w:sz w:val="21"/>
          <w:szCs w:val="21"/>
          <w:highlight w:val="none"/>
        </w:rPr>
        <w:t>2.落实政府采购政策需满足的资格要</w:t>
      </w:r>
      <w:r>
        <w:rPr>
          <w:rFonts w:hint="eastAsia" w:ascii="宋体" w:hAnsi="宋体" w:eastAsia="宋体" w:cs="宋体"/>
          <w:i w:val="0"/>
          <w:iCs w:val="0"/>
          <w:sz w:val="21"/>
          <w:szCs w:val="21"/>
          <w:highlight w:val="none"/>
        </w:rPr>
        <w:t>求：</w:t>
      </w:r>
      <w:r>
        <w:rPr>
          <w:rFonts w:hint="eastAsia" w:ascii="宋体" w:hAnsi="宋体" w:eastAsia="宋体" w:cs="宋体"/>
          <w:i w:val="0"/>
          <w:iCs w:val="0"/>
          <w:sz w:val="21"/>
          <w:szCs w:val="21"/>
          <w:highlight w:val="none"/>
          <w:u w:val="single"/>
        </w:rPr>
        <w:t>（</w:t>
      </w:r>
      <w:r>
        <w:rPr>
          <w:rFonts w:hint="eastAsia" w:ascii="宋体" w:hAnsi="宋体" w:eastAsia="宋体" w:cs="宋体"/>
          <w:i w:val="0"/>
          <w:iCs w:val="0"/>
          <w:sz w:val="21"/>
          <w:szCs w:val="21"/>
          <w:highlight w:val="none"/>
          <w:u w:val="single"/>
          <w:lang w:eastAsia="zh-CN"/>
        </w:rPr>
        <w:t>无）</w:t>
      </w:r>
      <w:r>
        <w:rPr>
          <w:rFonts w:hint="eastAsia" w:ascii="宋体" w:hAnsi="宋体" w:eastAsia="宋体" w:cs="宋体"/>
          <w:i w:val="0"/>
          <w:iCs w:val="0"/>
          <w:sz w:val="21"/>
          <w:szCs w:val="21"/>
          <w:highlight w:val="none"/>
          <w:u w:val="single"/>
          <w:lang w:val="en-US" w:eastAsia="zh-CN"/>
        </w:rPr>
        <w:t xml:space="preserve"> </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i w:val="0"/>
          <w:iCs w:val="0"/>
          <w:sz w:val="21"/>
          <w:szCs w:val="21"/>
          <w:highlight w:val="none"/>
        </w:rPr>
      </w:pPr>
      <w:r>
        <w:rPr>
          <w:rFonts w:hint="eastAsia" w:ascii="宋体" w:hAnsi="宋体" w:eastAsia="宋体" w:cs="宋体"/>
          <w:i w:val="0"/>
          <w:iCs w:val="0"/>
          <w:sz w:val="21"/>
          <w:szCs w:val="21"/>
          <w:highlight w:val="none"/>
        </w:rPr>
        <w:t>3.本项目的特定资格要求：</w:t>
      </w:r>
    </w:p>
    <w:p>
      <w:pPr>
        <w:adjustRightInd w:val="0"/>
        <w:snapToGrid w:val="0"/>
        <w:spacing w:line="360" w:lineRule="auto"/>
        <w:ind w:firstLine="422" w:firstLineChars="200"/>
        <w:rPr>
          <w:rFonts w:hint="eastAsia"/>
          <w:b/>
          <w:bCs/>
          <w:highlight w:val="none"/>
          <w:lang w:val="en-US" w:eastAsia="zh-CN"/>
        </w:rPr>
      </w:pPr>
      <w:r>
        <w:rPr>
          <w:rFonts w:hint="eastAsia" w:ascii="宋体" w:hAnsi="宋体" w:cs="宋体"/>
          <w:b/>
          <w:bCs/>
          <w:color w:val="auto"/>
          <w:sz w:val="21"/>
          <w:szCs w:val="21"/>
          <w:highlight w:val="none"/>
          <w:lang w:val="en-US" w:eastAsia="zh-CN"/>
        </w:rPr>
        <w:t>3.1</w:t>
      </w:r>
      <w:r>
        <w:rPr>
          <w:rFonts w:hint="eastAsia" w:ascii="宋体" w:hAnsi="宋体" w:cs="宋体"/>
          <w:b/>
          <w:bCs/>
          <w:color w:val="auto"/>
          <w:sz w:val="21"/>
          <w:szCs w:val="21"/>
          <w:highlight w:val="none"/>
          <w:lang w:eastAsia="zh-CN"/>
        </w:rPr>
        <w:t>本项目专门面向中小企业采购，供应商须提供中小企业声明函。</w:t>
      </w:r>
    </w:p>
    <w:p>
      <w:pPr>
        <w:pStyle w:val="54"/>
        <w:rPr>
          <w:rFonts w:hint="eastAsia"/>
          <w:highlight w:val="none"/>
        </w:rPr>
      </w:pP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i w:val="0"/>
          <w:iCs w:val="0"/>
          <w:sz w:val="21"/>
          <w:szCs w:val="21"/>
          <w:highlight w:val="none"/>
          <w:u w:val="single"/>
        </w:rPr>
      </w:pPr>
      <w:r>
        <w:rPr>
          <w:rFonts w:hint="eastAsia" w:ascii="宋体" w:hAnsi="宋体" w:eastAsia="宋体" w:cs="宋体"/>
          <w:i w:val="0"/>
          <w:iCs w:val="0"/>
          <w:sz w:val="21"/>
          <w:szCs w:val="21"/>
          <w:highlight w:val="none"/>
          <w:u w:val="single"/>
          <w:lang w:val="en-US" w:eastAsia="zh-CN"/>
        </w:rPr>
        <w:t>3</w:t>
      </w:r>
      <w:r>
        <w:rPr>
          <w:rFonts w:hint="eastAsia" w:ascii="宋体" w:hAnsi="宋体" w:eastAsia="宋体" w:cs="宋体"/>
          <w:i w:val="0"/>
          <w:iCs w:val="0"/>
          <w:sz w:val="21"/>
          <w:szCs w:val="21"/>
          <w:highlight w:val="none"/>
          <w:u w:val="single"/>
        </w:rPr>
        <w:t>.</w:t>
      </w:r>
      <w:r>
        <w:rPr>
          <w:rFonts w:hint="eastAsia" w:ascii="宋体" w:hAnsi="宋体" w:eastAsia="宋体" w:cs="宋体"/>
          <w:i w:val="0"/>
          <w:iCs w:val="0"/>
          <w:sz w:val="21"/>
          <w:szCs w:val="21"/>
          <w:highlight w:val="none"/>
          <w:u w:val="single"/>
          <w:lang w:val="en-US" w:eastAsia="zh-CN"/>
        </w:rPr>
        <w:t>2</w:t>
      </w:r>
      <w:r>
        <w:rPr>
          <w:rFonts w:hint="eastAsia" w:ascii="宋体" w:hAnsi="宋体" w:eastAsia="宋体" w:cs="宋体"/>
          <w:i w:val="0"/>
          <w:iCs w:val="0"/>
          <w:sz w:val="21"/>
          <w:szCs w:val="21"/>
          <w:highlight w:val="none"/>
          <w:u w:val="single"/>
          <w:lang w:eastAsia="zh-CN"/>
        </w:rPr>
        <w:t>投标人</w:t>
      </w:r>
      <w:r>
        <w:rPr>
          <w:rFonts w:hint="eastAsia" w:ascii="宋体" w:hAnsi="宋体" w:eastAsia="宋体" w:cs="宋体"/>
          <w:i w:val="0"/>
          <w:iCs w:val="0"/>
          <w:sz w:val="21"/>
          <w:szCs w:val="21"/>
          <w:highlight w:val="none"/>
          <w:u w:val="single"/>
        </w:rPr>
        <w:t>在中国境内注册，投标单位须具有</w:t>
      </w:r>
      <w:r>
        <w:rPr>
          <w:rFonts w:hint="eastAsia" w:ascii="宋体" w:hAnsi="宋体" w:cs="宋体"/>
          <w:i w:val="0"/>
          <w:iCs w:val="0"/>
          <w:sz w:val="21"/>
          <w:szCs w:val="21"/>
          <w:highlight w:val="none"/>
          <w:u w:val="single"/>
          <w:lang w:val="en-US" w:eastAsia="zh-CN"/>
        </w:rPr>
        <w:t>市政公用工程施工总承包三级（含）以上或城市及道路照明专业承包三级（含）以上</w:t>
      </w:r>
      <w:r>
        <w:rPr>
          <w:rFonts w:hint="eastAsia" w:ascii="宋体" w:hAnsi="宋体" w:eastAsia="宋体" w:cs="宋体"/>
          <w:i w:val="0"/>
          <w:iCs w:val="0"/>
          <w:sz w:val="21"/>
          <w:szCs w:val="21"/>
          <w:highlight w:val="none"/>
          <w:u w:val="single"/>
          <w:lang w:eastAsia="zh-CN"/>
        </w:rPr>
        <w:t>资质</w:t>
      </w:r>
      <w:r>
        <w:rPr>
          <w:rFonts w:hint="eastAsia" w:ascii="宋体" w:hAnsi="宋体" w:eastAsia="宋体" w:cs="宋体"/>
          <w:i w:val="0"/>
          <w:iCs w:val="0"/>
          <w:sz w:val="21"/>
          <w:szCs w:val="21"/>
          <w:highlight w:val="none"/>
          <w:u w:val="single"/>
        </w:rPr>
        <w:t>，具备有效的安全生产许可证，并在人员、设备、资金等方面具有相应的施工能力；</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i w:val="0"/>
          <w:iCs w:val="0"/>
          <w:sz w:val="21"/>
          <w:szCs w:val="21"/>
          <w:highlight w:val="none"/>
          <w:u w:val="single"/>
        </w:rPr>
      </w:pPr>
      <w:r>
        <w:rPr>
          <w:rFonts w:hint="eastAsia" w:ascii="宋体" w:hAnsi="宋体" w:eastAsia="宋体" w:cs="宋体"/>
          <w:i w:val="0"/>
          <w:iCs w:val="0"/>
          <w:sz w:val="21"/>
          <w:szCs w:val="21"/>
          <w:highlight w:val="none"/>
          <w:u w:val="single"/>
        </w:rPr>
        <w:t xml:space="preserve"> 3.</w:t>
      </w:r>
      <w:r>
        <w:rPr>
          <w:rFonts w:hint="eastAsia" w:ascii="宋体" w:hAnsi="宋体" w:eastAsia="宋体" w:cs="宋体"/>
          <w:i w:val="0"/>
          <w:iCs w:val="0"/>
          <w:sz w:val="21"/>
          <w:szCs w:val="21"/>
          <w:highlight w:val="none"/>
          <w:u w:val="single"/>
          <w:lang w:val="en-US" w:eastAsia="zh-CN"/>
        </w:rPr>
        <w:t>3</w:t>
      </w:r>
      <w:r>
        <w:rPr>
          <w:rFonts w:hint="eastAsia" w:ascii="宋体" w:hAnsi="宋体" w:eastAsia="宋体" w:cs="宋体"/>
          <w:i w:val="0"/>
          <w:iCs w:val="0"/>
          <w:sz w:val="21"/>
          <w:szCs w:val="21"/>
          <w:highlight w:val="none"/>
          <w:u w:val="single"/>
        </w:rPr>
        <w:t>拟投入本项目的项目负责人须具备</w:t>
      </w:r>
      <w:r>
        <w:rPr>
          <w:rFonts w:hint="eastAsia" w:ascii="宋体" w:hAnsi="宋体" w:cs="宋体"/>
          <w:i w:val="0"/>
          <w:iCs w:val="0"/>
          <w:sz w:val="21"/>
          <w:szCs w:val="21"/>
          <w:highlight w:val="none"/>
          <w:u w:val="single"/>
          <w:lang w:eastAsia="zh-CN"/>
        </w:rPr>
        <w:t>与本项目</w:t>
      </w:r>
      <w:r>
        <w:rPr>
          <w:rFonts w:hint="eastAsia" w:ascii="宋体" w:hAnsi="宋体" w:eastAsia="宋体" w:cs="宋体"/>
          <w:i w:val="0"/>
          <w:iCs w:val="0"/>
          <w:sz w:val="21"/>
          <w:szCs w:val="21"/>
          <w:highlight w:val="none"/>
          <w:u w:val="single"/>
          <w:lang w:eastAsia="zh-CN"/>
        </w:rPr>
        <w:t>相关专业</w:t>
      </w:r>
      <w:r>
        <w:rPr>
          <w:rFonts w:hint="eastAsia" w:ascii="宋体" w:hAnsi="宋体" w:eastAsia="宋体" w:cs="宋体"/>
          <w:i w:val="0"/>
          <w:iCs w:val="0"/>
          <w:sz w:val="21"/>
          <w:szCs w:val="21"/>
          <w:highlight w:val="none"/>
          <w:u w:val="single"/>
        </w:rPr>
        <w:t>国家注册建造师贰级及以上资格证书，具备有效期内的安全生产考核证</w:t>
      </w:r>
      <w:r>
        <w:rPr>
          <w:rFonts w:hint="eastAsia" w:ascii="宋体" w:hAnsi="宋体" w:eastAsia="宋体" w:cs="宋体"/>
          <w:i w:val="0"/>
          <w:iCs w:val="0"/>
          <w:sz w:val="21"/>
          <w:szCs w:val="21"/>
          <w:highlight w:val="none"/>
          <w:u w:val="single"/>
          <w:lang w:eastAsia="zh-CN"/>
        </w:rPr>
        <w:t>并无在建工程</w:t>
      </w:r>
      <w:r>
        <w:rPr>
          <w:rFonts w:hint="eastAsia" w:ascii="宋体" w:hAnsi="宋体" w:eastAsia="宋体" w:cs="宋体"/>
          <w:i w:val="0"/>
          <w:iCs w:val="0"/>
          <w:sz w:val="21"/>
          <w:szCs w:val="21"/>
          <w:highlight w:val="none"/>
          <w:u w:val="single"/>
        </w:rPr>
        <w:t>；</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i w:val="0"/>
          <w:iCs w:val="0"/>
          <w:sz w:val="21"/>
          <w:szCs w:val="21"/>
          <w:highlight w:val="none"/>
          <w:u w:val="single"/>
        </w:rPr>
      </w:pPr>
      <w:r>
        <w:rPr>
          <w:rFonts w:hint="eastAsia" w:ascii="宋体" w:hAnsi="宋体" w:eastAsia="宋体" w:cs="宋体"/>
          <w:i w:val="0"/>
          <w:iCs w:val="0"/>
          <w:sz w:val="21"/>
          <w:szCs w:val="21"/>
          <w:highlight w:val="none"/>
          <w:u w:val="single"/>
        </w:rPr>
        <w:t>3.</w:t>
      </w:r>
      <w:r>
        <w:rPr>
          <w:rFonts w:hint="eastAsia" w:ascii="宋体" w:hAnsi="宋体" w:eastAsia="宋体" w:cs="宋体"/>
          <w:i w:val="0"/>
          <w:iCs w:val="0"/>
          <w:sz w:val="21"/>
          <w:szCs w:val="21"/>
          <w:highlight w:val="none"/>
          <w:u w:val="single"/>
          <w:lang w:val="en-US" w:eastAsia="zh-CN"/>
        </w:rPr>
        <w:t>4</w:t>
      </w:r>
      <w:r>
        <w:rPr>
          <w:rFonts w:hint="eastAsia" w:ascii="宋体" w:hAnsi="宋体" w:eastAsia="宋体" w:cs="宋体"/>
          <w:i w:val="0"/>
          <w:iCs w:val="0"/>
          <w:sz w:val="21"/>
          <w:szCs w:val="21"/>
          <w:highlight w:val="none"/>
          <w:u w:val="single"/>
        </w:rPr>
        <w:t>截至采购公告报名截止时间前，经“信用中国”网站（www.creditchina.gov.cn）、“中国政府采购网”网站（www.ccgp.gov.cn）查询，被列入失信被执行人、</w:t>
      </w:r>
      <w:r>
        <w:rPr>
          <w:rFonts w:hint="eastAsia" w:ascii="宋体" w:hAnsi="宋体" w:eastAsia="宋体" w:cs="宋体"/>
          <w:i w:val="0"/>
          <w:iCs w:val="0"/>
          <w:sz w:val="21"/>
          <w:szCs w:val="21"/>
          <w:highlight w:val="none"/>
          <w:u w:val="single"/>
          <w:lang w:eastAsia="zh-CN"/>
        </w:rPr>
        <w:t>重大税收违法失信主体</w:t>
      </w:r>
      <w:r>
        <w:rPr>
          <w:rFonts w:hint="eastAsia" w:ascii="宋体" w:hAnsi="宋体" w:eastAsia="宋体" w:cs="宋体"/>
          <w:i w:val="0"/>
          <w:iCs w:val="0"/>
          <w:sz w:val="21"/>
          <w:szCs w:val="21"/>
          <w:highlight w:val="none"/>
          <w:u w:val="single"/>
        </w:rPr>
        <w:t>、政府采购严重违法失信行为记录名单的不得参加本采购项目（信用中国网站查询个体工商户及自然人除外）。</w:t>
      </w:r>
    </w:p>
    <w:p>
      <w:pPr>
        <w:keepNext/>
        <w:keepLines/>
        <w:pageBreakBefore w:val="0"/>
        <w:widowControl w:val="0"/>
        <w:kinsoku/>
        <w:wordWrap/>
        <w:overflowPunct/>
        <w:topLinePunct w:val="0"/>
        <w:autoSpaceDE/>
        <w:autoSpaceDN/>
        <w:bidi w:val="0"/>
        <w:spacing w:before="260" w:after="260" w:line="360" w:lineRule="auto"/>
        <w:jc w:val="both"/>
        <w:textAlignment w:val="auto"/>
        <w:outlineLvl w:val="1"/>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三 、获取招标文件</w:t>
      </w:r>
    </w:p>
    <w:p>
      <w:pPr>
        <w:keepNext w:val="0"/>
        <w:keepLines w:val="0"/>
        <w:pageBreakBefore w:val="0"/>
        <w:widowControl w:val="0"/>
        <w:kinsoku/>
        <w:wordWrap/>
        <w:overflowPunct/>
        <w:topLinePunct w:val="0"/>
        <w:autoSpaceDE/>
        <w:autoSpaceDN/>
        <w:bidi w:val="0"/>
        <w:spacing w:line="360" w:lineRule="auto"/>
        <w:ind w:firstLine="539"/>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时间：</w:t>
      </w:r>
      <w:r>
        <w:rPr>
          <w:rFonts w:hint="eastAsia" w:ascii="宋体" w:hAnsi="宋体" w:eastAsia="宋体" w:cs="宋体"/>
          <w:i w:val="0"/>
          <w:iCs w:val="0"/>
          <w:sz w:val="21"/>
          <w:szCs w:val="21"/>
          <w:highlight w:val="none"/>
          <w:u w:val="single"/>
          <w:lang w:val="en-US" w:eastAsia="zh-CN"/>
        </w:rPr>
        <w:t>2022 年1</w:t>
      </w:r>
      <w:r>
        <w:rPr>
          <w:rFonts w:hint="eastAsia" w:ascii="宋体" w:hAnsi="宋体" w:cs="宋体"/>
          <w:i w:val="0"/>
          <w:iCs w:val="0"/>
          <w:sz w:val="21"/>
          <w:szCs w:val="21"/>
          <w:highlight w:val="none"/>
          <w:u w:val="single"/>
          <w:lang w:val="en-US" w:eastAsia="zh-CN"/>
        </w:rPr>
        <w:t>2</w:t>
      </w:r>
      <w:r>
        <w:rPr>
          <w:rFonts w:hint="eastAsia" w:ascii="宋体" w:hAnsi="宋体" w:eastAsia="宋体" w:cs="宋体"/>
          <w:i w:val="0"/>
          <w:iCs w:val="0"/>
          <w:sz w:val="21"/>
          <w:szCs w:val="21"/>
          <w:highlight w:val="none"/>
          <w:u w:val="single"/>
          <w:lang w:val="en-US" w:eastAsia="zh-CN"/>
        </w:rPr>
        <w:t>月</w:t>
      </w:r>
      <w:r>
        <w:rPr>
          <w:rFonts w:hint="eastAsia" w:ascii="宋体" w:hAnsi="宋体" w:cs="宋体"/>
          <w:i w:val="0"/>
          <w:iCs w:val="0"/>
          <w:sz w:val="21"/>
          <w:szCs w:val="21"/>
          <w:highlight w:val="none"/>
          <w:u w:val="single"/>
          <w:lang w:val="en-US" w:eastAsia="zh-CN"/>
        </w:rPr>
        <w:t>07</w:t>
      </w:r>
      <w:r>
        <w:rPr>
          <w:rFonts w:hint="eastAsia" w:ascii="宋体" w:hAnsi="宋体" w:eastAsia="宋体" w:cs="宋体"/>
          <w:i w:val="0"/>
          <w:iCs w:val="0"/>
          <w:sz w:val="21"/>
          <w:szCs w:val="21"/>
          <w:highlight w:val="none"/>
          <w:u w:val="single"/>
          <w:lang w:val="en-US" w:eastAsia="zh-CN"/>
        </w:rPr>
        <w:t>日</w:t>
      </w:r>
      <w:r>
        <w:rPr>
          <w:rFonts w:hint="eastAsia" w:ascii="宋体" w:hAnsi="宋体" w:eastAsia="宋体" w:cs="宋体"/>
          <w:sz w:val="21"/>
          <w:szCs w:val="21"/>
          <w:highlight w:val="none"/>
        </w:rPr>
        <w:t>至</w:t>
      </w:r>
      <w:r>
        <w:rPr>
          <w:rFonts w:hint="eastAsia" w:ascii="宋体" w:hAnsi="宋体" w:eastAsia="宋体" w:cs="宋体"/>
          <w:i w:val="0"/>
          <w:iCs w:val="0"/>
          <w:sz w:val="21"/>
          <w:szCs w:val="21"/>
          <w:highlight w:val="none"/>
          <w:u w:val="single"/>
          <w:lang w:val="en-US" w:eastAsia="zh-CN"/>
        </w:rPr>
        <w:t>2022 年12月</w:t>
      </w:r>
      <w:r>
        <w:rPr>
          <w:rFonts w:hint="eastAsia" w:ascii="宋体" w:hAnsi="宋体" w:cs="宋体"/>
          <w:i w:val="0"/>
          <w:iCs w:val="0"/>
          <w:sz w:val="21"/>
          <w:szCs w:val="21"/>
          <w:highlight w:val="none"/>
          <w:u w:val="single"/>
          <w:lang w:val="en-US" w:eastAsia="zh-CN"/>
        </w:rPr>
        <w:t>13</w:t>
      </w:r>
      <w:r>
        <w:rPr>
          <w:rFonts w:hint="eastAsia" w:ascii="宋体" w:hAnsi="宋体" w:eastAsia="宋体" w:cs="宋体"/>
          <w:i w:val="0"/>
          <w:iCs w:val="0"/>
          <w:sz w:val="21"/>
          <w:szCs w:val="21"/>
          <w:highlight w:val="none"/>
          <w:u w:val="single"/>
          <w:lang w:val="en-US" w:eastAsia="zh-CN"/>
        </w:rPr>
        <w:t>日</w:t>
      </w:r>
      <w:r>
        <w:rPr>
          <w:rFonts w:hint="eastAsia" w:ascii="宋体" w:hAnsi="宋体" w:eastAsia="宋体" w:cs="宋体"/>
          <w:sz w:val="21"/>
          <w:szCs w:val="21"/>
          <w:highlight w:val="none"/>
        </w:rPr>
        <w:t>，每天上午</w:t>
      </w:r>
      <w:r>
        <w:rPr>
          <w:rFonts w:hint="eastAsia" w:ascii="宋体" w:hAnsi="宋体" w:eastAsia="宋体" w:cs="宋体"/>
          <w:sz w:val="21"/>
          <w:szCs w:val="21"/>
          <w:highlight w:val="none"/>
          <w:u w:val="single"/>
          <w:lang w:val="en-US" w:eastAsia="zh-CN"/>
        </w:rPr>
        <w:t>09:00</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lang w:val="en-US" w:eastAsia="zh-CN"/>
        </w:rPr>
        <w:t>11:00</w:t>
      </w:r>
      <w:r>
        <w:rPr>
          <w:rFonts w:hint="eastAsia" w:ascii="宋体" w:hAnsi="宋体" w:eastAsia="宋体" w:cs="宋体"/>
          <w:sz w:val="21"/>
          <w:szCs w:val="21"/>
          <w:highlight w:val="none"/>
        </w:rPr>
        <w:t>，下午</w:t>
      </w:r>
      <w:r>
        <w:rPr>
          <w:rFonts w:hint="eastAsia" w:ascii="宋体" w:hAnsi="宋体" w:eastAsia="宋体" w:cs="宋体"/>
          <w:sz w:val="21"/>
          <w:szCs w:val="21"/>
          <w:highlight w:val="none"/>
          <w:u w:val="single"/>
          <w:lang w:val="en-US" w:eastAsia="zh-CN"/>
        </w:rPr>
        <w:t>13:00</w:t>
      </w:r>
      <w:r>
        <w:rPr>
          <w:rFonts w:hint="eastAsia" w:ascii="宋体" w:hAnsi="宋体" w:eastAsia="宋体" w:cs="宋体"/>
          <w:sz w:val="21"/>
          <w:szCs w:val="21"/>
          <w:highlight w:val="none"/>
        </w:rPr>
        <w:t>至</w:t>
      </w:r>
      <w:r>
        <w:rPr>
          <w:rFonts w:hint="eastAsia" w:ascii="宋体" w:hAnsi="宋体" w:eastAsia="宋体" w:cs="宋体"/>
          <w:sz w:val="21"/>
          <w:szCs w:val="21"/>
          <w:highlight w:val="none"/>
          <w:u w:val="single"/>
          <w:lang w:val="en-US" w:eastAsia="zh-CN"/>
        </w:rPr>
        <w:t>16：00</w:t>
      </w:r>
      <w:r>
        <w:rPr>
          <w:rFonts w:hint="eastAsia" w:ascii="宋体" w:hAnsi="宋体" w:eastAsia="宋体" w:cs="宋体"/>
          <w:sz w:val="21"/>
          <w:szCs w:val="21"/>
          <w:highlight w:val="none"/>
        </w:rPr>
        <w:t>（北京时间，法定节假日除外 ）</w:t>
      </w:r>
    </w:p>
    <w:p>
      <w:pPr>
        <w:adjustRightInd w:val="0"/>
        <w:snapToGrid w:val="0"/>
        <w:spacing w:line="360" w:lineRule="auto"/>
        <w:ind w:firstLine="540"/>
        <w:rPr>
          <w:rFonts w:hint="eastAsia" w:ascii="宋体" w:hAnsi="宋体" w:eastAsia="宋体" w:cs="宋体"/>
          <w:i w:val="0"/>
          <w:iCs w:val="0"/>
          <w:szCs w:val="21"/>
          <w:highlight w:val="none"/>
          <w:lang w:val="en-US" w:eastAsia="zh-CN"/>
        </w:rPr>
      </w:pPr>
      <w:r>
        <w:rPr>
          <w:rFonts w:hint="eastAsia" w:ascii="宋体" w:hAnsi="宋体" w:eastAsia="宋体" w:cs="宋体"/>
          <w:i w:val="0"/>
          <w:iCs w:val="0"/>
          <w:szCs w:val="21"/>
          <w:highlight w:val="none"/>
        </w:rPr>
        <w:t>地点：</w:t>
      </w:r>
      <w:r>
        <w:rPr>
          <w:rFonts w:hint="eastAsia" w:ascii="宋体" w:hAnsi="宋体" w:eastAsia="宋体" w:cs="宋体"/>
          <w:i w:val="0"/>
          <w:iCs w:val="0"/>
          <w:szCs w:val="21"/>
          <w:highlight w:val="none"/>
          <w:lang w:val="en-US" w:eastAsia="zh-CN"/>
        </w:rPr>
        <w:t>线上</w:t>
      </w:r>
    </w:p>
    <w:p>
      <w:pPr>
        <w:adjustRightInd w:val="0"/>
        <w:snapToGrid w:val="0"/>
        <w:spacing w:line="360" w:lineRule="auto"/>
        <w:ind w:firstLine="540"/>
        <w:rPr>
          <w:rFonts w:hint="eastAsia" w:ascii="宋体" w:hAnsi="宋体" w:eastAsia="宋体" w:cs="宋体"/>
          <w:i w:val="0"/>
          <w:iCs w:val="0"/>
          <w:szCs w:val="21"/>
          <w:highlight w:val="none"/>
          <w:lang w:val="en-US" w:eastAsia="zh-CN"/>
        </w:rPr>
      </w:pPr>
      <w:r>
        <w:rPr>
          <w:rFonts w:hint="eastAsia" w:ascii="宋体" w:hAnsi="宋体" w:eastAsia="宋体" w:cs="宋体"/>
          <w:i w:val="0"/>
          <w:iCs w:val="0"/>
          <w:szCs w:val="21"/>
          <w:highlight w:val="none"/>
          <w:lang w:val="en-US" w:eastAsia="zh-CN"/>
        </w:rPr>
        <w:t>方式：线上下载。</w:t>
      </w:r>
    </w:p>
    <w:p>
      <w:pPr>
        <w:adjustRightInd w:val="0"/>
        <w:snapToGrid w:val="0"/>
        <w:spacing w:line="360" w:lineRule="auto"/>
        <w:ind w:firstLine="630" w:firstLineChars="300"/>
        <w:rPr>
          <w:rFonts w:hint="eastAsia" w:ascii="宋体" w:hAnsi="宋体" w:eastAsia="宋体" w:cs="宋体"/>
          <w:szCs w:val="21"/>
          <w:highlight w:val="none"/>
        </w:rPr>
      </w:pPr>
      <w:r>
        <w:rPr>
          <w:rFonts w:hint="eastAsia" w:ascii="宋体" w:hAnsi="宋体" w:eastAsia="宋体" w:cs="宋体"/>
          <w:i w:val="0"/>
          <w:iCs w:val="0"/>
          <w:szCs w:val="21"/>
          <w:highlight w:val="none"/>
          <w:lang w:eastAsia="zh-CN"/>
        </w:rPr>
        <w:t>售价</w:t>
      </w:r>
      <w:r>
        <w:rPr>
          <w:rFonts w:hint="eastAsia" w:ascii="宋体" w:hAnsi="宋体" w:eastAsia="宋体" w:cs="宋体"/>
          <w:i w:val="0"/>
          <w:iCs w:val="0"/>
          <w:szCs w:val="21"/>
          <w:highlight w:val="none"/>
        </w:rPr>
        <w:t>：</w:t>
      </w:r>
      <w:r>
        <w:rPr>
          <w:rFonts w:hint="eastAsia" w:ascii="宋体" w:hAnsi="宋体" w:eastAsia="宋体" w:cs="宋体"/>
          <w:i w:val="0"/>
          <w:iCs w:val="0"/>
          <w:szCs w:val="21"/>
          <w:highlight w:val="none"/>
          <w:lang w:val="en-US" w:eastAsia="zh-CN"/>
        </w:rPr>
        <w:t>0元</w:t>
      </w:r>
    </w:p>
    <w:p>
      <w:pPr>
        <w:keepNext/>
        <w:keepLines/>
        <w:pageBreakBefore w:val="0"/>
        <w:widowControl w:val="0"/>
        <w:kinsoku/>
        <w:wordWrap/>
        <w:overflowPunct/>
        <w:topLinePunct w:val="0"/>
        <w:autoSpaceDE/>
        <w:autoSpaceDN/>
        <w:bidi w:val="0"/>
        <w:spacing w:before="260" w:after="260" w:line="360" w:lineRule="auto"/>
        <w:jc w:val="both"/>
        <w:textAlignment w:val="auto"/>
        <w:outlineLvl w:val="1"/>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四、提交投标文件截止时间、开标时间和地点</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rPr>
        <w:t>时间：</w:t>
      </w:r>
      <w:r>
        <w:rPr>
          <w:rFonts w:hint="eastAsia" w:ascii="宋体" w:hAnsi="宋体" w:eastAsia="宋体" w:cs="宋体"/>
          <w:i w:val="0"/>
          <w:iCs w:val="0"/>
          <w:sz w:val="21"/>
          <w:szCs w:val="21"/>
          <w:highlight w:val="none"/>
          <w:u w:val="single"/>
          <w:lang w:val="en-US" w:eastAsia="zh-CN"/>
        </w:rPr>
        <w:t>2022 年12月</w:t>
      </w:r>
      <w:r>
        <w:rPr>
          <w:rFonts w:hint="eastAsia" w:ascii="宋体" w:hAnsi="宋体" w:cs="宋体"/>
          <w:i w:val="0"/>
          <w:iCs w:val="0"/>
          <w:sz w:val="21"/>
          <w:szCs w:val="21"/>
          <w:highlight w:val="none"/>
          <w:u w:val="single"/>
          <w:lang w:val="en-US" w:eastAsia="zh-CN"/>
        </w:rPr>
        <w:t>19</w:t>
      </w:r>
      <w:r>
        <w:rPr>
          <w:rFonts w:hint="eastAsia" w:ascii="宋体" w:hAnsi="宋体" w:eastAsia="宋体" w:cs="宋体"/>
          <w:i w:val="0"/>
          <w:iCs w:val="0"/>
          <w:sz w:val="21"/>
          <w:szCs w:val="21"/>
          <w:highlight w:val="none"/>
          <w:u w:val="single"/>
          <w:lang w:val="en-US" w:eastAsia="zh-CN"/>
        </w:rPr>
        <w:t>日</w:t>
      </w:r>
      <w:r>
        <w:rPr>
          <w:rFonts w:hint="eastAsia" w:ascii="宋体" w:hAnsi="宋体" w:cs="宋体"/>
          <w:i w:val="0"/>
          <w:iCs w:val="0"/>
          <w:sz w:val="21"/>
          <w:szCs w:val="21"/>
          <w:highlight w:val="none"/>
          <w:u w:val="single"/>
          <w:lang w:val="en-US" w:eastAsia="zh-CN"/>
        </w:rPr>
        <w:t>14</w:t>
      </w:r>
      <w:r>
        <w:rPr>
          <w:rFonts w:hint="eastAsia" w:ascii="宋体" w:hAnsi="宋体" w:eastAsia="宋体" w:cs="宋体"/>
          <w:i w:val="0"/>
          <w:iCs w:val="0"/>
          <w:sz w:val="21"/>
          <w:szCs w:val="21"/>
          <w:highlight w:val="none"/>
          <w:u w:val="single"/>
          <w:lang w:val="en-US" w:eastAsia="zh-CN"/>
        </w:rPr>
        <w:t xml:space="preserve">点 </w:t>
      </w:r>
      <w:r>
        <w:rPr>
          <w:rFonts w:hint="eastAsia" w:ascii="宋体" w:hAnsi="宋体" w:cs="宋体"/>
          <w:i w:val="0"/>
          <w:iCs w:val="0"/>
          <w:sz w:val="21"/>
          <w:szCs w:val="21"/>
          <w:highlight w:val="none"/>
          <w:u w:val="single"/>
          <w:lang w:val="en-US" w:eastAsia="zh-CN"/>
        </w:rPr>
        <w:t>0</w:t>
      </w:r>
      <w:r>
        <w:rPr>
          <w:rFonts w:hint="eastAsia" w:ascii="宋体" w:hAnsi="宋体" w:eastAsia="宋体" w:cs="宋体"/>
          <w:i w:val="0"/>
          <w:iCs w:val="0"/>
          <w:sz w:val="21"/>
          <w:szCs w:val="21"/>
          <w:highlight w:val="none"/>
          <w:u w:val="single"/>
          <w:lang w:val="en-US" w:eastAsia="zh-CN"/>
        </w:rPr>
        <w:t>0分</w:t>
      </w:r>
      <w:r>
        <w:rPr>
          <w:rFonts w:hint="eastAsia" w:ascii="宋体" w:hAnsi="宋体" w:eastAsia="宋体" w:cs="宋体"/>
          <w:bCs/>
          <w:sz w:val="21"/>
          <w:szCs w:val="21"/>
          <w:highlight w:val="none"/>
        </w:rPr>
        <w:t>（北京时间）</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地点：</w:t>
      </w:r>
      <w:r>
        <w:rPr>
          <w:rFonts w:hint="eastAsia" w:ascii="宋体" w:hAnsi="宋体" w:cs="宋体"/>
          <w:sz w:val="21"/>
          <w:szCs w:val="21"/>
          <w:highlight w:val="none"/>
          <w:lang w:val="en-US" w:eastAsia="zh-CN"/>
        </w:rPr>
        <w:t>辽宁铁龙项目管理有限责任公司</w:t>
      </w:r>
      <w:r>
        <w:rPr>
          <w:rFonts w:hint="eastAsia" w:ascii="宋体" w:hAnsi="宋体" w:eastAsia="宋体" w:cs="宋体"/>
          <w:sz w:val="21"/>
          <w:szCs w:val="21"/>
          <w:highlight w:val="none"/>
          <w:lang w:val="en-US" w:eastAsia="zh-CN"/>
        </w:rPr>
        <w:t>（锦州市古塔区保安里50-81号）</w:t>
      </w:r>
    </w:p>
    <w:p>
      <w:pPr>
        <w:keepNext/>
        <w:keepLines/>
        <w:pageBreakBefore w:val="0"/>
        <w:widowControl w:val="0"/>
        <w:kinsoku/>
        <w:wordWrap/>
        <w:overflowPunct/>
        <w:topLinePunct w:val="0"/>
        <w:autoSpaceDE/>
        <w:autoSpaceDN/>
        <w:bidi w:val="0"/>
        <w:spacing w:before="260" w:after="260" w:line="360" w:lineRule="auto"/>
        <w:jc w:val="both"/>
        <w:textAlignment w:val="auto"/>
        <w:outlineLvl w:val="1"/>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五、公告期限</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自本公告发布之日起5个工作日。</w:t>
      </w:r>
    </w:p>
    <w:p>
      <w:pPr>
        <w:keepNext/>
        <w:keepLines/>
        <w:pageBreakBefore w:val="0"/>
        <w:widowControl w:val="0"/>
        <w:kinsoku/>
        <w:wordWrap/>
        <w:overflowPunct/>
        <w:topLinePunct w:val="0"/>
        <w:autoSpaceDE/>
        <w:autoSpaceDN/>
        <w:bidi w:val="0"/>
        <w:spacing w:before="260" w:after="260" w:line="360" w:lineRule="auto"/>
        <w:jc w:val="both"/>
        <w:textAlignment w:val="auto"/>
        <w:outlineLvl w:val="1"/>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六、其他补充事宜</w:t>
      </w:r>
    </w:p>
    <w:p>
      <w:pPr>
        <w:widowControl/>
        <w:numPr>
          <w:ilvl w:val="0"/>
          <w:numId w:val="0"/>
        </w:numPr>
        <w:adjustRightInd w:val="0"/>
        <w:snapToGrid w:val="0"/>
        <w:spacing w:line="360" w:lineRule="auto"/>
        <w:ind w:firstLine="630" w:firstLineChars="300"/>
        <w:jc w:val="left"/>
        <w:rPr>
          <w:rFonts w:hint="eastAsia" w:ascii="宋体" w:hAnsi="宋体" w:eastAsia="宋体" w:cs="宋体"/>
          <w:szCs w:val="21"/>
          <w:highlight w:val="none"/>
          <w:lang w:val="en-US" w:eastAsia="zh-CN"/>
        </w:rPr>
      </w:pPr>
      <w:bookmarkStart w:id="6" w:name="_Toc28359018"/>
      <w:bookmarkStart w:id="7" w:name="_Toc35393805"/>
      <w:bookmarkStart w:id="8" w:name="_Toc28359095"/>
      <w:bookmarkStart w:id="9" w:name="_Toc35393636"/>
      <w:r>
        <w:rPr>
          <w:rFonts w:hint="eastAsia" w:ascii="宋体" w:hAnsi="宋体" w:eastAsia="宋体" w:cs="宋体"/>
          <w:szCs w:val="21"/>
          <w:highlight w:val="none"/>
          <w:lang w:val="en-US" w:eastAsia="zh-CN"/>
        </w:rPr>
        <w:t>1.投标保证金：0元，</w:t>
      </w:r>
    </w:p>
    <w:p>
      <w:pPr>
        <w:widowControl/>
        <w:numPr>
          <w:ilvl w:val="0"/>
          <w:numId w:val="0"/>
        </w:numPr>
        <w:adjustRightInd w:val="0"/>
        <w:snapToGrid w:val="0"/>
        <w:spacing w:line="360" w:lineRule="auto"/>
        <w:ind w:firstLine="630" w:firstLineChars="30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因在全省推广政府采购电子招投标业务，供应商需自行办理政府采购CA数字证书并认真学习辽宁政府采购网电子文件制作指南，并按照采购文件和电子评审系统要求进行投标（响应）信息填报、电子文件编制、盖章或电子签章等工作。对于使用电子签章的，供应商应在辽宁政府采购网 CA 认证平台下载签章工具或向 CA 认证机构索要电子签章工具，对电子文件进行签章。电子文件中存在图片较多或内存较大等情况，需使用特殊工具对电子文件进行调整的，应在系统中认真核对调整后的电子文件，确保文件真实有效，清晰可辨，避免影响评审活动。</w:t>
      </w:r>
    </w:p>
    <w:p>
      <w:pPr>
        <w:widowControl/>
        <w:adjustRightInd w:val="0"/>
        <w:snapToGrid w:val="0"/>
        <w:spacing w:line="360" w:lineRule="auto"/>
        <w:ind w:firstLine="48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3.有任何技术问题可拨打网站客服电话进行咨询：400-128-8588，CA 办理问题请咨询CA认证机构。供应商因自身操作问题导致的一切不良后果由供应商自身负责。</w:t>
      </w:r>
    </w:p>
    <w:p>
      <w:pPr>
        <w:widowControl/>
        <w:adjustRightInd w:val="0"/>
        <w:snapToGrid w:val="0"/>
        <w:spacing w:line="360" w:lineRule="auto"/>
        <w:ind w:firstLine="480"/>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4.疫情期间，供应商须严格按照锦州市最新疫情管控要求执行。</w:t>
      </w:r>
    </w:p>
    <w:bookmarkEnd w:id="6"/>
    <w:bookmarkEnd w:id="7"/>
    <w:bookmarkEnd w:id="8"/>
    <w:bookmarkEnd w:id="9"/>
    <w:p>
      <w:pPr>
        <w:keepNext/>
        <w:keepLines/>
        <w:pageBreakBefore w:val="0"/>
        <w:widowControl w:val="0"/>
        <w:kinsoku/>
        <w:wordWrap/>
        <w:overflowPunct/>
        <w:topLinePunct w:val="0"/>
        <w:autoSpaceDE/>
        <w:autoSpaceDN/>
        <w:bidi w:val="0"/>
        <w:spacing w:before="260" w:after="260" w:line="360" w:lineRule="auto"/>
        <w:jc w:val="both"/>
        <w:textAlignment w:val="auto"/>
        <w:outlineLvl w:val="1"/>
        <w:rPr>
          <w:rFonts w:hint="eastAsia" w:ascii="宋体" w:hAnsi="宋体" w:eastAsia="宋体" w:cs="宋体"/>
          <w:b w:val="0"/>
          <w:bCs/>
          <w:kern w:val="2"/>
          <w:sz w:val="21"/>
          <w:szCs w:val="21"/>
          <w:highlight w:val="none"/>
          <w:lang w:val="en-US" w:eastAsia="zh-CN" w:bidi="ar-SA"/>
        </w:rPr>
      </w:pPr>
      <w:r>
        <w:rPr>
          <w:rFonts w:hint="eastAsia" w:ascii="宋体" w:hAnsi="宋体" w:eastAsia="宋体" w:cs="宋体"/>
          <w:b w:val="0"/>
          <w:bCs/>
          <w:kern w:val="2"/>
          <w:sz w:val="21"/>
          <w:szCs w:val="21"/>
          <w:highlight w:val="none"/>
          <w:lang w:val="en-US" w:eastAsia="zh-CN" w:bidi="ar-SA"/>
        </w:rPr>
        <w:t>七、对本次招标提出询问，请按以下方式联系。</w:t>
      </w:r>
    </w:p>
    <w:p>
      <w:pPr>
        <w:adjustRightInd w:val="0"/>
        <w:snapToGrid w:val="0"/>
        <w:spacing w:line="360" w:lineRule="auto"/>
        <w:ind w:left="495"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1.采购人信息</w:t>
      </w:r>
    </w:p>
    <w:p>
      <w:pPr>
        <w:adjustRightInd w:val="0"/>
        <w:snapToGrid w:val="0"/>
        <w:spacing w:line="360" w:lineRule="auto"/>
        <w:ind w:left="495"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采购人：</w:t>
      </w:r>
      <w:r>
        <w:rPr>
          <w:rFonts w:hint="eastAsia" w:ascii="宋体" w:hAnsi="宋体" w:cs="宋体"/>
          <w:color w:val="auto"/>
          <w:szCs w:val="21"/>
          <w:highlight w:val="none"/>
          <w:lang w:eastAsia="zh-CN"/>
        </w:rPr>
        <w:t>凌海市城乡建设服务中心</w:t>
      </w:r>
    </w:p>
    <w:p>
      <w:pPr>
        <w:adjustRightInd w:val="0"/>
        <w:snapToGrid w:val="0"/>
        <w:spacing w:line="360" w:lineRule="auto"/>
        <w:ind w:left="495"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地 址：</w:t>
      </w:r>
      <w:r>
        <w:rPr>
          <w:rFonts w:hint="eastAsia" w:ascii="宋体" w:hAnsi="宋体" w:cs="宋体"/>
          <w:color w:val="auto"/>
          <w:szCs w:val="21"/>
          <w:highlight w:val="none"/>
          <w:lang w:eastAsia="zh-CN"/>
        </w:rPr>
        <w:t>锦州市凌海市</w:t>
      </w:r>
    </w:p>
    <w:p>
      <w:pPr>
        <w:adjustRightInd w:val="0"/>
        <w:snapToGrid w:val="0"/>
        <w:spacing w:line="360" w:lineRule="auto"/>
        <w:ind w:left="495"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项目联系人：</w:t>
      </w:r>
      <w:r>
        <w:rPr>
          <w:rFonts w:hint="eastAsia" w:ascii="宋体" w:hAnsi="宋体" w:cs="宋体"/>
          <w:color w:val="auto"/>
          <w:szCs w:val="21"/>
          <w:highlight w:val="none"/>
          <w:lang w:eastAsia="zh-CN"/>
        </w:rPr>
        <w:t>边先生</w:t>
      </w:r>
    </w:p>
    <w:p>
      <w:pPr>
        <w:adjustRightInd w:val="0"/>
        <w:snapToGrid w:val="0"/>
        <w:spacing w:line="360" w:lineRule="auto"/>
        <w:ind w:left="495" w:firstLine="210" w:firstLineChars="1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联系电话：</w:t>
      </w:r>
      <w:r>
        <w:rPr>
          <w:rFonts w:hint="eastAsia" w:ascii="宋体" w:hAnsi="宋体" w:cs="宋体"/>
          <w:color w:val="auto"/>
          <w:szCs w:val="21"/>
          <w:highlight w:val="none"/>
          <w:lang w:val="en-US" w:eastAsia="zh-CN"/>
        </w:rPr>
        <w:t>0416-8851033</w:t>
      </w:r>
    </w:p>
    <w:p>
      <w:pPr>
        <w:adjustRightInd w:val="0"/>
        <w:snapToGrid w:val="0"/>
        <w:spacing w:line="360" w:lineRule="auto"/>
        <w:ind w:left="495"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2.采购代理机构信息</w:t>
      </w:r>
    </w:p>
    <w:p>
      <w:pPr>
        <w:adjustRightInd w:val="0"/>
        <w:snapToGrid w:val="0"/>
        <w:spacing w:line="360" w:lineRule="auto"/>
        <w:ind w:left="495"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名称：</w:t>
      </w:r>
      <w:r>
        <w:rPr>
          <w:rFonts w:hint="eastAsia" w:ascii="宋体" w:hAnsi="宋体" w:cs="宋体"/>
          <w:color w:val="auto"/>
          <w:szCs w:val="21"/>
          <w:highlight w:val="none"/>
          <w:lang w:eastAsia="zh-CN"/>
        </w:rPr>
        <w:t>辽宁铁龙项目管理有限责任公司</w:t>
      </w:r>
    </w:p>
    <w:p>
      <w:pPr>
        <w:adjustRightInd w:val="0"/>
        <w:snapToGrid w:val="0"/>
        <w:spacing w:line="360" w:lineRule="auto"/>
        <w:ind w:left="495" w:firstLine="210" w:firstLineChars="100"/>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eastAsia="zh-CN"/>
        </w:rPr>
        <w:t>地址：</w:t>
      </w:r>
      <w:r>
        <w:rPr>
          <w:rFonts w:hint="eastAsia" w:ascii="宋体" w:hAnsi="宋体" w:cs="宋体"/>
          <w:color w:val="auto"/>
          <w:szCs w:val="21"/>
          <w:highlight w:val="none"/>
          <w:lang w:eastAsia="zh-CN"/>
        </w:rPr>
        <w:t>锦州市古塔区保安里50-81号</w:t>
      </w:r>
    </w:p>
    <w:p>
      <w:pPr>
        <w:adjustRightInd w:val="0"/>
        <w:snapToGrid w:val="0"/>
        <w:spacing w:line="360" w:lineRule="auto"/>
        <w:ind w:left="495"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联系方式：</w:t>
      </w:r>
      <w:r>
        <w:rPr>
          <w:rFonts w:hint="eastAsia" w:ascii="宋体" w:hAnsi="宋体" w:cs="宋体"/>
          <w:color w:val="auto"/>
          <w:szCs w:val="21"/>
          <w:highlight w:val="none"/>
          <w:lang w:eastAsia="zh-CN"/>
        </w:rPr>
        <w:t>0416-2675555</w:t>
      </w:r>
    </w:p>
    <w:p>
      <w:pPr>
        <w:adjustRightInd w:val="0"/>
        <w:snapToGrid w:val="0"/>
        <w:spacing w:line="360" w:lineRule="auto"/>
        <w:ind w:left="495"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开户行：锦州银行股份有限公司金华支行</w:t>
      </w:r>
    </w:p>
    <w:p>
      <w:pPr>
        <w:adjustRightInd w:val="0"/>
        <w:snapToGrid w:val="0"/>
        <w:spacing w:line="360" w:lineRule="auto"/>
        <w:ind w:left="495" w:firstLine="210" w:firstLineChars="1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账户名称：</w:t>
      </w:r>
      <w:r>
        <w:rPr>
          <w:rFonts w:hint="eastAsia" w:ascii="宋体" w:hAnsi="宋体" w:cs="宋体"/>
          <w:color w:val="auto"/>
          <w:szCs w:val="21"/>
          <w:highlight w:val="none"/>
          <w:lang w:eastAsia="zh-CN"/>
        </w:rPr>
        <w:t>辽宁铁龙项目管理有限责任公司</w:t>
      </w:r>
    </w:p>
    <w:p>
      <w:pPr>
        <w:adjustRightInd w:val="0"/>
        <w:snapToGrid w:val="0"/>
        <w:spacing w:line="360" w:lineRule="auto"/>
        <w:ind w:left="495" w:firstLine="210" w:firstLineChars="100"/>
        <w:rPr>
          <w:rFonts w:hint="eastAsia" w:ascii="宋体" w:hAnsi="宋体" w:cs="宋体"/>
          <w:color w:val="auto"/>
          <w:szCs w:val="21"/>
          <w:highlight w:val="none"/>
          <w:lang w:eastAsia="zh-CN"/>
        </w:rPr>
      </w:pPr>
      <w:r>
        <w:rPr>
          <w:rFonts w:hint="eastAsia" w:ascii="宋体" w:hAnsi="宋体" w:eastAsia="宋体" w:cs="宋体"/>
          <w:color w:val="auto"/>
          <w:szCs w:val="21"/>
          <w:highlight w:val="none"/>
          <w:lang w:eastAsia="zh-CN"/>
        </w:rPr>
        <w:t>账号：</w:t>
      </w:r>
      <w:r>
        <w:rPr>
          <w:rFonts w:hint="eastAsia" w:ascii="宋体" w:hAnsi="宋体" w:cs="宋体"/>
          <w:color w:val="auto"/>
          <w:szCs w:val="21"/>
          <w:highlight w:val="none"/>
          <w:lang w:eastAsia="zh-CN"/>
        </w:rPr>
        <w:t>410100677065800</w:t>
      </w:r>
    </w:p>
    <w:p>
      <w:pPr>
        <w:adjustRightInd w:val="0"/>
        <w:snapToGrid w:val="0"/>
        <w:spacing w:line="360" w:lineRule="auto"/>
        <w:ind w:left="495"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pPr>
        <w:adjustRightInd w:val="0"/>
        <w:snapToGrid w:val="0"/>
        <w:spacing w:line="360" w:lineRule="auto"/>
        <w:ind w:left="495"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u w:val="none"/>
          <w:lang w:eastAsia="zh-CN"/>
        </w:rPr>
        <w:t>吕先生</w:t>
      </w:r>
      <w:r>
        <w:rPr>
          <w:rFonts w:hint="eastAsia" w:ascii="宋体" w:hAnsi="宋体" w:eastAsia="宋体" w:cs="宋体"/>
          <w:color w:val="auto"/>
          <w:szCs w:val="21"/>
          <w:highlight w:val="none"/>
          <w:u w:val="none"/>
        </w:rPr>
        <w:t xml:space="preserve">                      </w:t>
      </w:r>
    </w:p>
    <w:p>
      <w:pPr>
        <w:adjustRightInd w:val="0"/>
        <w:snapToGrid w:val="0"/>
        <w:spacing w:line="360" w:lineRule="auto"/>
        <w:ind w:left="495" w:firstLine="210" w:firstLineChars="100"/>
        <w:rPr>
          <w:rFonts w:hint="eastAsia" w:ascii="宋体" w:hAnsi="宋体" w:eastAsia="宋体" w:cs="宋体"/>
          <w:kern w:val="0"/>
          <w:szCs w:val="21"/>
          <w:highlight w:val="none"/>
          <w:lang w:eastAsia="zh-CN"/>
        </w:rPr>
      </w:pPr>
      <w:r>
        <w:rPr>
          <w:rFonts w:hint="eastAsia" w:ascii="宋体" w:hAnsi="宋体" w:eastAsia="宋体" w:cs="宋体"/>
          <w:color w:val="auto"/>
          <w:szCs w:val="21"/>
          <w:highlight w:val="none"/>
        </w:rPr>
        <w:t>电　话：</w:t>
      </w:r>
      <w:r>
        <w:rPr>
          <w:rFonts w:hint="eastAsia" w:ascii="宋体" w:hAnsi="宋体" w:cs="宋体"/>
          <w:kern w:val="0"/>
          <w:szCs w:val="21"/>
          <w:highlight w:val="none"/>
          <w:lang w:eastAsia="zh-CN"/>
        </w:rPr>
        <w:t>0416-2675555</w:t>
      </w:r>
    </w:p>
    <w:p>
      <w:pPr>
        <w:pStyle w:val="54"/>
        <w:rPr>
          <w:rFonts w:hint="eastAsia" w:ascii="宋体" w:hAnsi="宋体" w:eastAsia="宋体" w:cs="宋体"/>
          <w:kern w:val="0"/>
          <w:szCs w:val="21"/>
          <w:highlight w:val="none"/>
        </w:rPr>
      </w:pPr>
    </w:p>
    <w:p>
      <w:pPr>
        <w:pStyle w:val="54"/>
        <w:jc w:val="right"/>
        <w:rPr>
          <w:rFonts w:hint="eastAsia" w:ascii="宋体" w:hAnsi="宋体" w:eastAsia="宋体" w:cs="宋体"/>
          <w:kern w:val="0"/>
          <w:szCs w:val="21"/>
          <w:highlight w:val="none"/>
        </w:rPr>
      </w:pPr>
      <w:r>
        <w:rPr>
          <w:rFonts w:hint="eastAsia" w:ascii="宋体" w:hAnsi="宋体" w:cs="宋体"/>
          <w:color w:val="auto"/>
          <w:szCs w:val="21"/>
          <w:highlight w:val="none"/>
          <w:lang w:eastAsia="zh-CN"/>
        </w:rPr>
        <w:t>辽宁铁龙项目管理有限责任公司</w:t>
      </w:r>
    </w:p>
    <w:p>
      <w:pPr>
        <w:pStyle w:val="54"/>
        <w:jc w:val="right"/>
        <w:rPr>
          <w:rFonts w:hint="eastAsia" w:ascii="宋体" w:hAnsi="宋体" w:eastAsia="宋体" w:cs="宋体"/>
          <w:highlight w:val="none"/>
        </w:rPr>
      </w:pPr>
      <w:r>
        <w:rPr>
          <w:rFonts w:hint="eastAsia" w:ascii="宋体" w:hAnsi="宋体" w:eastAsia="宋体" w:cs="宋体"/>
          <w:kern w:val="0"/>
          <w:szCs w:val="21"/>
          <w:highlight w:val="none"/>
        </w:rPr>
        <w:t>2022 年</w:t>
      </w:r>
      <w:r>
        <w:rPr>
          <w:rFonts w:hint="eastAsia" w:ascii="宋体" w:hAnsi="宋体" w:eastAsia="宋体" w:cs="宋体"/>
          <w:kern w:val="0"/>
          <w:szCs w:val="21"/>
          <w:highlight w:val="none"/>
          <w:lang w:val="en-US" w:eastAsia="zh-CN"/>
        </w:rPr>
        <w:t>1</w:t>
      </w:r>
      <w:r>
        <w:rPr>
          <w:rFonts w:hint="eastAsia" w:ascii="宋体" w:hAnsi="宋体" w:cs="宋体"/>
          <w:kern w:val="0"/>
          <w:szCs w:val="21"/>
          <w:highlight w:val="none"/>
          <w:lang w:val="en-US" w:eastAsia="zh-CN"/>
        </w:rPr>
        <w:t>2</w:t>
      </w:r>
      <w:r>
        <w:rPr>
          <w:rFonts w:hint="eastAsia" w:ascii="宋体" w:hAnsi="宋体" w:eastAsia="宋体" w:cs="宋体"/>
          <w:kern w:val="0"/>
          <w:szCs w:val="21"/>
          <w:highlight w:val="none"/>
        </w:rPr>
        <w:t>月</w:t>
      </w:r>
      <w:r>
        <w:rPr>
          <w:rFonts w:hint="eastAsia" w:ascii="宋体" w:hAnsi="宋体" w:cs="宋体"/>
          <w:kern w:val="0"/>
          <w:szCs w:val="21"/>
          <w:highlight w:val="none"/>
          <w:lang w:val="en-US" w:eastAsia="zh-CN"/>
        </w:rPr>
        <w:t>06</w:t>
      </w:r>
      <w:r>
        <w:rPr>
          <w:rFonts w:hint="eastAsia" w:ascii="宋体" w:hAnsi="宋体" w:eastAsia="宋体" w:cs="宋体"/>
          <w:kern w:val="0"/>
          <w:szCs w:val="21"/>
          <w:highlight w:val="none"/>
        </w:rPr>
        <w:t>日</w:t>
      </w:r>
    </w:p>
    <w:p>
      <w:pPr>
        <w:pStyle w:val="6"/>
        <w:jc w:val="center"/>
        <w:rPr>
          <w:rFonts w:hint="eastAsia" w:ascii="宋体" w:hAnsi="宋体" w:cs="宋体"/>
          <w:highlight w:val="none"/>
          <w:lang w:val="en-US" w:eastAsia="zh-CN"/>
        </w:rPr>
      </w:pPr>
    </w:p>
    <w:p>
      <w:pPr>
        <w:pStyle w:val="6"/>
        <w:jc w:val="both"/>
        <w:rPr>
          <w:rFonts w:hint="eastAsia" w:ascii="宋体" w:hAnsi="宋体" w:cs="宋体"/>
          <w:highlight w:val="none"/>
          <w:lang w:val="en-US" w:eastAsia="zh-CN"/>
        </w:rPr>
      </w:pPr>
    </w:p>
    <w:p>
      <w:pPr>
        <w:rPr>
          <w:rFonts w:hint="eastAsia" w:ascii="宋体" w:hAnsi="宋体" w:cs="宋体"/>
          <w:highlight w:val="none"/>
          <w:lang w:val="en-US" w:eastAsia="zh-CN"/>
        </w:rPr>
      </w:pPr>
    </w:p>
    <w:p>
      <w:pPr>
        <w:pStyle w:val="54"/>
        <w:rPr>
          <w:rFonts w:hint="eastAsia" w:ascii="宋体" w:hAnsi="宋体" w:cs="宋体"/>
          <w:highlight w:val="none"/>
          <w:lang w:val="en-US" w:eastAsia="zh-CN"/>
        </w:rPr>
      </w:pPr>
    </w:p>
    <w:p>
      <w:pPr>
        <w:pStyle w:val="54"/>
        <w:rPr>
          <w:rFonts w:hint="eastAsia" w:ascii="宋体" w:hAnsi="宋体" w:cs="宋体"/>
          <w:highlight w:val="none"/>
          <w:lang w:val="en-US" w:eastAsia="zh-CN"/>
        </w:rPr>
      </w:pPr>
    </w:p>
    <w:p>
      <w:pPr>
        <w:pStyle w:val="54"/>
        <w:rPr>
          <w:rFonts w:hint="eastAsia" w:ascii="宋体" w:hAnsi="宋体" w:cs="宋体"/>
          <w:highlight w:val="none"/>
          <w:lang w:val="en-US" w:eastAsia="zh-CN"/>
        </w:rPr>
      </w:pPr>
    </w:p>
    <w:p>
      <w:pPr>
        <w:pStyle w:val="54"/>
        <w:rPr>
          <w:rFonts w:hint="eastAsia" w:ascii="宋体" w:hAnsi="宋体" w:cs="宋体"/>
          <w:highlight w:val="none"/>
          <w:lang w:val="en-US" w:eastAsia="zh-CN"/>
        </w:rPr>
      </w:pPr>
    </w:p>
    <w:p>
      <w:pPr>
        <w:pStyle w:val="54"/>
        <w:rPr>
          <w:rFonts w:hint="eastAsia" w:ascii="宋体" w:hAnsi="宋体" w:cs="宋体"/>
          <w:highlight w:val="none"/>
          <w:lang w:val="en-US" w:eastAsia="zh-CN"/>
        </w:rPr>
      </w:pPr>
    </w:p>
    <w:p>
      <w:pPr>
        <w:pStyle w:val="54"/>
        <w:rPr>
          <w:rFonts w:hint="eastAsia" w:ascii="宋体" w:hAnsi="宋体" w:cs="宋体"/>
          <w:highlight w:val="none"/>
          <w:lang w:val="en-US" w:eastAsia="zh-CN"/>
        </w:rPr>
      </w:pPr>
    </w:p>
    <w:p>
      <w:pPr>
        <w:pStyle w:val="54"/>
        <w:rPr>
          <w:rFonts w:hint="eastAsia" w:ascii="宋体" w:hAnsi="宋体" w:cs="宋体"/>
          <w:highlight w:val="none"/>
          <w:lang w:val="en-US" w:eastAsia="zh-CN"/>
        </w:rPr>
      </w:pPr>
    </w:p>
    <w:p>
      <w:pPr>
        <w:pStyle w:val="54"/>
        <w:rPr>
          <w:rFonts w:hint="eastAsia" w:ascii="宋体" w:hAnsi="宋体" w:cs="宋体"/>
          <w:highlight w:val="none"/>
          <w:lang w:val="en-US" w:eastAsia="zh-CN"/>
        </w:rPr>
      </w:pPr>
    </w:p>
    <w:p>
      <w:pPr>
        <w:pStyle w:val="54"/>
        <w:rPr>
          <w:rFonts w:hint="eastAsia" w:ascii="宋体" w:hAnsi="宋体" w:cs="宋体"/>
          <w:highlight w:val="none"/>
          <w:lang w:val="en-US" w:eastAsia="zh-CN"/>
        </w:rPr>
      </w:pPr>
    </w:p>
    <w:p>
      <w:pPr>
        <w:pStyle w:val="54"/>
        <w:rPr>
          <w:rFonts w:hint="eastAsia" w:ascii="宋体" w:hAnsi="宋体" w:cs="宋体"/>
          <w:highlight w:val="none"/>
          <w:lang w:val="en-US" w:eastAsia="zh-CN"/>
        </w:rPr>
      </w:pPr>
    </w:p>
    <w:p>
      <w:pPr>
        <w:pStyle w:val="54"/>
        <w:rPr>
          <w:rFonts w:hint="eastAsia" w:ascii="宋体" w:hAnsi="宋体" w:cs="宋体"/>
          <w:highlight w:val="none"/>
          <w:lang w:val="en-US" w:eastAsia="zh-CN"/>
        </w:rPr>
      </w:pPr>
    </w:p>
    <w:p>
      <w:pPr>
        <w:pStyle w:val="6"/>
        <w:adjustRightInd w:val="0"/>
        <w:snapToGrid w:val="0"/>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第一章 供应商须知</w:t>
      </w:r>
      <w:bookmarkEnd w:id="4"/>
      <w:bookmarkEnd w:id="5"/>
    </w:p>
    <w:p>
      <w:pPr>
        <w:pStyle w:val="7"/>
        <w:adjustRightInd w:val="0"/>
        <w:snapToGrid w:val="0"/>
        <w:spacing w:before="0" w:after="0" w:line="360" w:lineRule="auto"/>
        <w:jc w:val="center"/>
        <w:rPr>
          <w:rFonts w:hint="eastAsia" w:ascii="宋体" w:hAnsi="宋体" w:eastAsia="宋体" w:cs="宋体"/>
          <w:color w:val="auto"/>
          <w:highlight w:val="none"/>
        </w:rPr>
      </w:pPr>
      <w:bookmarkStart w:id="10" w:name="_Toc533340139"/>
      <w:bookmarkStart w:id="11" w:name="_Toc4485618"/>
      <w:r>
        <w:rPr>
          <w:rFonts w:hint="eastAsia" w:ascii="宋体" w:hAnsi="宋体" w:eastAsia="宋体" w:cs="宋体"/>
          <w:color w:val="auto"/>
          <w:highlight w:val="none"/>
        </w:rPr>
        <w:t>一 供应商须知表</w:t>
      </w:r>
      <w:bookmarkEnd w:id="10"/>
      <w:bookmarkEnd w:id="11"/>
    </w:p>
    <w:tbl>
      <w:tblPr>
        <w:tblStyle w:val="40"/>
        <w:tblW w:w="8699" w:type="dxa"/>
        <w:jc w:val="center"/>
        <w:tblLayout w:type="fixed"/>
        <w:tblCellMar>
          <w:top w:w="0" w:type="dxa"/>
          <w:left w:w="108" w:type="dxa"/>
          <w:bottom w:w="0" w:type="dxa"/>
          <w:right w:w="108" w:type="dxa"/>
        </w:tblCellMar>
      </w:tblPr>
      <w:tblGrid>
        <w:gridCol w:w="771"/>
        <w:gridCol w:w="1869"/>
        <w:gridCol w:w="6059"/>
      </w:tblGrid>
      <w:tr>
        <w:tblPrEx>
          <w:tblCellMar>
            <w:top w:w="0" w:type="dxa"/>
            <w:left w:w="108" w:type="dxa"/>
            <w:bottom w:w="0" w:type="dxa"/>
            <w:right w:w="108" w:type="dxa"/>
          </w:tblCellMar>
        </w:tblPrEx>
        <w:trPr>
          <w:trHeight w:val="351" w:hRule="atLeast"/>
          <w:tblHeader/>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Cs w:val="21"/>
                <w:highlight w:val="none"/>
              </w:rPr>
            </w:pPr>
            <w:bookmarkStart w:id="12" w:name="招标项目基本内容及要求：Block"/>
            <w:bookmarkEnd w:id="12"/>
            <w:bookmarkStart w:id="13" w:name="sys_招标项目基本内容及要求其他：Block"/>
            <w:bookmarkEnd w:id="13"/>
            <w:bookmarkStart w:id="14" w:name="sys_招标项目基本内容及要求：Block"/>
            <w:bookmarkEnd w:id="14"/>
            <w:bookmarkStart w:id="15" w:name="招标项目基本内容及要求其他：Block"/>
            <w:bookmarkEnd w:id="15"/>
            <w:r>
              <w:rPr>
                <w:rFonts w:hint="eastAsia" w:ascii="宋体" w:hAnsi="宋体" w:eastAsia="宋体" w:cs="宋体"/>
                <w:b/>
                <w:bCs/>
                <w:color w:val="auto"/>
                <w:kern w:val="0"/>
                <w:szCs w:val="21"/>
                <w:highlight w:val="none"/>
              </w:rPr>
              <w:t>条款号</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   目</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内     容</w:t>
            </w:r>
          </w:p>
        </w:tc>
      </w:tr>
      <w:tr>
        <w:tblPrEx>
          <w:tblCellMar>
            <w:top w:w="0" w:type="dxa"/>
            <w:left w:w="108" w:type="dxa"/>
            <w:bottom w:w="0" w:type="dxa"/>
            <w:right w:w="108" w:type="dxa"/>
          </w:tblCellMar>
        </w:tblPrEx>
        <w:trPr>
          <w:trHeight w:val="1067"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 xml:space="preserve">招 标 人：凌海市城乡建设服务中心  </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地    址：锦州市凌海市</w:t>
            </w:r>
          </w:p>
          <w:p>
            <w:pPr>
              <w:keepNext w:val="0"/>
              <w:keepLines w:val="0"/>
              <w:suppressLineNumbers w:val="0"/>
              <w:adjustRightInd w:val="0"/>
              <w:snapToGrid w:val="0"/>
              <w:spacing w:before="0" w:beforeAutospacing="0" w:after="0" w:afterAutospacing="0" w:line="360" w:lineRule="auto"/>
              <w:ind w:left="0" w:right="0"/>
              <w:rPr>
                <w:rFonts w:hint="eastAsia" w:ascii="宋体" w:hAnsi="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 xml:space="preserve">联 系 人：边先生 </w:t>
            </w:r>
          </w:p>
          <w:p>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kern w:val="0"/>
                <w:szCs w:val="21"/>
                <w:highlight w:val="none"/>
                <w:lang w:val="en-US"/>
              </w:rPr>
            </w:pPr>
            <w:r>
              <w:rPr>
                <w:rFonts w:hint="eastAsia" w:ascii="宋体" w:hAnsi="宋体" w:cs="宋体"/>
                <w:bCs/>
                <w:color w:val="auto"/>
                <w:kern w:val="0"/>
                <w:szCs w:val="21"/>
                <w:highlight w:val="none"/>
                <w:lang w:val="en-US" w:eastAsia="zh-CN"/>
              </w:rPr>
              <w:t>联系电话：0416-8851033</w:t>
            </w:r>
          </w:p>
        </w:tc>
      </w:tr>
      <w:tr>
        <w:tblPrEx>
          <w:tblCellMar>
            <w:top w:w="0" w:type="dxa"/>
            <w:left w:w="108" w:type="dxa"/>
            <w:bottom w:w="0" w:type="dxa"/>
            <w:right w:w="108" w:type="dxa"/>
          </w:tblCellMar>
        </w:tblPrEx>
        <w:trPr>
          <w:trHeight w:val="1331"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采购代理机构</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名  称：</w:t>
            </w:r>
            <w:r>
              <w:rPr>
                <w:rFonts w:hint="eastAsia" w:ascii="宋体" w:hAnsi="宋体" w:cs="宋体"/>
                <w:bCs/>
                <w:color w:val="auto"/>
                <w:kern w:val="0"/>
                <w:szCs w:val="21"/>
                <w:highlight w:val="none"/>
                <w:lang w:eastAsia="zh-CN"/>
              </w:rPr>
              <w:t>辽宁铁龙项目管理有限责任公司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cs="宋体"/>
                <w:bCs/>
                <w:color w:val="auto"/>
                <w:kern w:val="0"/>
                <w:szCs w:val="21"/>
                <w:highlight w:val="none"/>
                <w:lang w:eastAsia="zh-CN"/>
              </w:rPr>
            </w:pPr>
            <w:r>
              <w:rPr>
                <w:rFonts w:hint="eastAsia" w:ascii="宋体" w:hAnsi="宋体" w:eastAsia="宋体" w:cs="宋体"/>
                <w:bCs/>
                <w:color w:val="auto"/>
                <w:kern w:val="0"/>
                <w:szCs w:val="21"/>
                <w:highlight w:val="none"/>
              </w:rPr>
              <w:t>地  址：锦州市古塔区保安里50-81号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联系人：</w:t>
            </w:r>
            <w:r>
              <w:rPr>
                <w:rFonts w:hint="eastAsia" w:ascii="宋体" w:hAnsi="宋体" w:cs="宋体"/>
                <w:bCs/>
                <w:color w:val="auto"/>
                <w:kern w:val="0"/>
                <w:szCs w:val="21"/>
                <w:highlight w:val="none"/>
                <w:lang w:eastAsia="zh-CN"/>
              </w:rPr>
              <w:t>吕先生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电  话：</w:t>
            </w:r>
            <w:r>
              <w:rPr>
                <w:rFonts w:hint="eastAsia" w:ascii="宋体" w:hAnsi="宋体" w:cs="宋体"/>
                <w:bCs/>
                <w:color w:val="auto"/>
                <w:kern w:val="0"/>
                <w:szCs w:val="21"/>
                <w:highlight w:val="none"/>
                <w:lang w:eastAsia="zh-CN"/>
              </w:rPr>
              <w:t>0416-2675555</w:t>
            </w:r>
          </w:p>
        </w:tc>
      </w:tr>
      <w:tr>
        <w:tblPrEx>
          <w:tblCellMar>
            <w:top w:w="0" w:type="dxa"/>
            <w:left w:w="108" w:type="dxa"/>
            <w:bottom w:w="0" w:type="dxa"/>
            <w:right w:w="108" w:type="dxa"/>
          </w:tblCellMar>
        </w:tblPrEx>
        <w:trPr>
          <w:trHeight w:val="2656"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1.3.4</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合格供应商还要满足的其它资格条件</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1、本项目专门面向中小企业采购，供应商须提供中小企业声明函。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2、投标人在中国境内注册，投标单位须具有</w:t>
            </w:r>
            <w:r>
              <w:rPr>
                <w:rFonts w:hint="eastAsia" w:ascii="宋体" w:hAnsi="宋体" w:cs="宋体"/>
                <w:bCs/>
                <w:color w:val="auto"/>
                <w:kern w:val="0"/>
                <w:szCs w:val="21"/>
                <w:highlight w:val="none"/>
                <w:lang w:eastAsia="zh-CN"/>
              </w:rPr>
              <w:t>市政公用工程施工总承包三级（含）以上或城市及道路照明专业承包三级（含）以上</w:t>
            </w:r>
            <w:r>
              <w:rPr>
                <w:rFonts w:hint="eastAsia" w:ascii="宋体" w:hAnsi="宋体" w:eastAsia="宋体" w:cs="宋体"/>
                <w:bCs/>
                <w:color w:val="auto"/>
                <w:kern w:val="0"/>
                <w:szCs w:val="21"/>
                <w:highlight w:val="none"/>
              </w:rPr>
              <w:t>资质，具备有效的安全生产许可证，并在人员、设备、资金等方面具有相应的施工能力</w:t>
            </w:r>
            <w:r>
              <w:rPr>
                <w:rFonts w:hint="eastAsia" w:ascii="宋体" w:hAnsi="宋体" w:eastAsia="宋体" w:cs="宋体"/>
                <w:bCs/>
                <w:color w:val="auto"/>
                <w:kern w:val="0"/>
                <w:szCs w:val="21"/>
                <w:highlight w:val="none"/>
                <w:lang w:eastAsia="zh-CN"/>
              </w:rPr>
              <w:t>并无在建工程</w:t>
            </w:r>
            <w:r>
              <w:rPr>
                <w:rFonts w:hint="eastAsia" w:ascii="宋体" w:hAnsi="宋体" w:eastAsia="宋体" w:cs="宋体"/>
                <w:bCs/>
                <w:color w:val="auto"/>
                <w:kern w:val="0"/>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3、拟投入本项目的项目负责人须具备与本项目相关专业国家注册建造师贰级及以上资格证书，具备有效期内的安全生产考核证；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截至采购公告报名截止时间前，经“信用中国”网站（www.creditchina.gov.cn）、“中国政府采购网”网站（www.ccgp.gov.cn）查询，被列入失信被执行人、重大税收违法失信主体、政府采购严重违法失信行为记录名单的不得参加本采购项目（信用中国网站查询个体工商户及自然人除外）。</w:t>
            </w:r>
          </w:p>
        </w:tc>
      </w:tr>
      <w:tr>
        <w:tblPrEx>
          <w:tblCellMar>
            <w:top w:w="0" w:type="dxa"/>
            <w:left w:w="108" w:type="dxa"/>
            <w:bottom w:w="0" w:type="dxa"/>
            <w:right w:w="108" w:type="dxa"/>
          </w:tblCellMar>
        </w:tblPrEx>
        <w:trPr>
          <w:trHeight w:val="537"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1.3.5</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425"/>
              </w:tabs>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是否为专门面向</w:t>
            </w:r>
            <w:r>
              <w:rPr>
                <w:rFonts w:hint="eastAsia" w:ascii="宋体" w:hAnsi="宋体" w:eastAsia="宋体" w:cs="宋体"/>
                <w:color w:val="auto"/>
                <w:szCs w:val="21"/>
                <w:highlight w:val="none"/>
              </w:rPr>
              <w:t>中小企业</w:t>
            </w:r>
            <w:r>
              <w:rPr>
                <w:rFonts w:hint="eastAsia" w:ascii="宋体" w:hAnsi="宋体" w:eastAsia="宋体" w:cs="宋体"/>
                <w:color w:val="auto"/>
                <w:kern w:val="0"/>
                <w:szCs w:val="21"/>
                <w:highlight w:val="none"/>
              </w:rPr>
              <w:t>采购</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rPr>
            </w:pPr>
            <w:r>
              <w:rPr>
                <w:rFonts w:hint="eastAsia" w:ascii="宋体" w:hAnsi="宋体" w:cs="宋体"/>
                <w:color w:val="auto"/>
                <w:highlight w:val="none"/>
                <w:lang w:eastAsia="zh-CN"/>
              </w:rPr>
              <w:t>☑</w:t>
            </w:r>
            <w:r>
              <w:rPr>
                <w:rFonts w:hint="eastAsia" w:ascii="宋体" w:hAnsi="宋体" w:eastAsia="宋体" w:cs="宋体"/>
                <w:color w:val="auto"/>
                <w:kern w:val="0"/>
                <w:szCs w:val="21"/>
                <w:highlight w:val="none"/>
              </w:rPr>
              <w:t>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否</w:t>
            </w:r>
          </w:p>
        </w:tc>
      </w:tr>
      <w:tr>
        <w:tblPrEx>
          <w:tblCellMar>
            <w:top w:w="0" w:type="dxa"/>
            <w:left w:w="108" w:type="dxa"/>
            <w:bottom w:w="0" w:type="dxa"/>
            <w:right w:w="108" w:type="dxa"/>
          </w:tblCellMar>
        </w:tblPrEx>
        <w:trPr>
          <w:trHeight w:val="537"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1.3.6</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425"/>
              </w:tabs>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rPr>
              <w:t>是否有政府强制采购的节能产品</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有，具体产品为</w:t>
            </w:r>
            <w:r>
              <w:rPr>
                <w:rFonts w:hint="eastAsia" w:ascii="宋体" w:hAnsi="宋体" w:eastAsia="宋体" w:cs="宋体"/>
                <w:bCs/>
                <w:color w:val="auto"/>
                <w:kern w:val="0"/>
                <w:szCs w:val="21"/>
                <w:highlight w:val="none"/>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rPr>
            </w:pPr>
            <w:r>
              <w:rPr>
                <w:rFonts w:hint="eastAsia" w:ascii="宋体" w:hAnsi="宋体" w:cs="宋体"/>
                <w:color w:val="auto"/>
                <w:highlight w:val="none"/>
                <w:lang w:eastAsia="zh-CN"/>
              </w:rPr>
              <w:t>☑</w:t>
            </w:r>
            <w:r>
              <w:rPr>
                <w:rFonts w:hint="eastAsia" w:ascii="宋体" w:hAnsi="宋体" w:eastAsia="宋体" w:cs="宋体"/>
                <w:color w:val="auto"/>
                <w:kern w:val="0"/>
                <w:szCs w:val="21"/>
                <w:highlight w:val="none"/>
              </w:rPr>
              <w:t>没有</w:t>
            </w:r>
          </w:p>
        </w:tc>
      </w:tr>
      <w:tr>
        <w:tblPrEx>
          <w:tblCellMar>
            <w:top w:w="0" w:type="dxa"/>
            <w:left w:w="108" w:type="dxa"/>
            <w:bottom w:w="0" w:type="dxa"/>
            <w:right w:w="108" w:type="dxa"/>
          </w:tblCellMar>
        </w:tblPrEx>
        <w:trPr>
          <w:trHeight w:val="802"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425"/>
              </w:tabs>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是否允许联合体参加政府采购活动</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是</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kern w:val="0"/>
                <w:szCs w:val="21"/>
                <w:highlight w:val="none"/>
              </w:rPr>
              <w:t>否</w:t>
            </w:r>
          </w:p>
        </w:tc>
      </w:tr>
      <w:tr>
        <w:tblPrEx>
          <w:tblCellMar>
            <w:top w:w="0" w:type="dxa"/>
            <w:left w:w="108" w:type="dxa"/>
            <w:bottom w:w="0" w:type="dxa"/>
            <w:right w:w="108" w:type="dxa"/>
          </w:tblCellMar>
        </w:tblPrEx>
        <w:trPr>
          <w:trHeight w:val="537"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1.4.8</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425"/>
              </w:tabs>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联合体的其他资格要求</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不适用</w:t>
            </w:r>
          </w:p>
        </w:tc>
      </w:tr>
      <w:tr>
        <w:tblPrEx>
          <w:tblCellMar>
            <w:top w:w="0" w:type="dxa"/>
            <w:left w:w="108" w:type="dxa"/>
            <w:bottom w:w="0" w:type="dxa"/>
            <w:right w:w="108" w:type="dxa"/>
          </w:tblCellMar>
        </w:tblPrEx>
        <w:trPr>
          <w:trHeight w:val="660"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项目预算金额、最高限价</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default" w:ascii="宋体" w:hAnsi="宋体" w:eastAsia="宋体" w:cs="宋体"/>
                <w:bCs/>
                <w:color w:val="auto"/>
                <w:kern w:val="0"/>
                <w:szCs w:val="21"/>
                <w:highlight w:val="none"/>
                <w:lang w:val="en-US" w:eastAsia="zh-CN"/>
              </w:rPr>
            </w:pPr>
            <w:r>
              <w:rPr>
                <w:rFonts w:hint="eastAsia" w:ascii="宋体" w:hAnsi="宋体" w:cs="宋体"/>
                <w:bCs/>
                <w:color w:val="auto"/>
                <w:kern w:val="0"/>
                <w:szCs w:val="21"/>
                <w:highlight w:val="none"/>
                <w:lang w:val="en-US" w:eastAsia="zh-CN"/>
              </w:rPr>
              <w:t>预算金额</w:t>
            </w:r>
            <w:r>
              <w:rPr>
                <w:rFonts w:hint="eastAsia" w:ascii="宋体" w:hAnsi="宋体" w:eastAsia="宋体" w:cs="宋体"/>
                <w:bCs/>
                <w:color w:val="auto"/>
                <w:kern w:val="0"/>
                <w:szCs w:val="21"/>
                <w:highlight w:val="none"/>
              </w:rPr>
              <w:t>（包含全部费用）</w:t>
            </w:r>
            <w:r>
              <w:rPr>
                <w:rFonts w:hint="eastAsia" w:ascii="宋体" w:hAnsi="宋体" w:cs="宋体"/>
                <w:bCs/>
                <w:color w:val="auto"/>
                <w:kern w:val="0"/>
                <w:szCs w:val="21"/>
                <w:highlight w:val="none"/>
                <w:lang w:val="en-US" w:eastAsia="zh-CN"/>
              </w:rPr>
              <w:t>：1651100.00元</w:t>
            </w:r>
            <w:r>
              <w:rPr>
                <w:rFonts w:hint="eastAsia" w:ascii="宋体" w:hAnsi="宋体" w:eastAsia="宋体" w:cs="宋体"/>
                <w:bCs/>
                <w:color w:val="auto"/>
                <w:kern w:val="0"/>
                <w:szCs w:val="21"/>
                <w:highlight w:val="none"/>
              </w:rPr>
              <w:t>人民币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招标控制价（包含全部费用）</w:t>
            </w:r>
            <w:r>
              <w:rPr>
                <w:rFonts w:hint="eastAsia" w:ascii="宋体" w:hAnsi="宋体" w:cs="宋体"/>
                <w:bCs/>
                <w:color w:val="auto"/>
                <w:kern w:val="0"/>
                <w:szCs w:val="21"/>
                <w:highlight w:val="none"/>
                <w:lang w:eastAsia="zh-CN"/>
              </w:rPr>
              <w:t>：1651082.08</w:t>
            </w:r>
            <w:r>
              <w:rPr>
                <w:rFonts w:hint="eastAsia" w:ascii="宋体" w:hAnsi="宋体" w:eastAsia="宋体" w:cs="宋体"/>
                <w:bCs/>
                <w:color w:val="auto"/>
                <w:kern w:val="0"/>
                <w:szCs w:val="21"/>
                <w:highlight w:val="none"/>
              </w:rPr>
              <w:t>元人民币。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宋体" w:hAnsi="宋体" w:eastAsia="宋体" w:cs="宋体"/>
                <w:bCs/>
                <w:color w:val="auto"/>
                <w:kern w:val="0"/>
                <w:szCs w:val="21"/>
                <w:highlight w:val="none"/>
                <w:lang w:val="en-US" w:eastAsia="zh-CN"/>
              </w:rPr>
            </w:pPr>
            <w:r>
              <w:rPr>
                <w:rFonts w:hint="eastAsia" w:ascii="宋体" w:hAnsi="宋体" w:eastAsia="宋体" w:cs="宋体"/>
                <w:bCs/>
                <w:color w:val="auto"/>
                <w:kern w:val="0"/>
                <w:szCs w:val="21"/>
                <w:highlight w:val="none"/>
              </w:rPr>
              <w:t>（超过招标控制价的投标文件均为无效投标文件）</w:t>
            </w:r>
          </w:p>
        </w:tc>
      </w:tr>
      <w:tr>
        <w:tblPrEx>
          <w:tblCellMar>
            <w:top w:w="0" w:type="dxa"/>
            <w:left w:w="108" w:type="dxa"/>
            <w:bottom w:w="0" w:type="dxa"/>
            <w:right w:w="108" w:type="dxa"/>
          </w:tblCellMar>
        </w:tblPrEx>
        <w:trPr>
          <w:trHeight w:val="537"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tabs>
                <w:tab w:val="left" w:pos="1425"/>
              </w:tabs>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计量单位</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bCs/>
                <w:color w:val="auto"/>
                <w:kern w:val="0"/>
                <w:szCs w:val="21"/>
                <w:highlight w:val="none"/>
              </w:rPr>
            </w:pPr>
            <w:r>
              <w:rPr>
                <w:rFonts w:hint="eastAsia" w:ascii="宋体" w:hAnsi="宋体" w:eastAsia="宋体" w:cs="宋体"/>
                <w:color w:val="auto"/>
                <w:highlight w:val="none"/>
                <w:lang w:eastAsia="zh-CN"/>
              </w:rPr>
              <w:t>☑</w:t>
            </w:r>
            <w:r>
              <w:rPr>
                <w:rFonts w:hint="eastAsia" w:ascii="宋体" w:hAnsi="宋体" w:eastAsia="宋体" w:cs="宋体"/>
                <w:bCs/>
                <w:color w:val="auto"/>
                <w:kern w:val="0"/>
                <w:szCs w:val="21"/>
                <w:highlight w:val="none"/>
              </w:rPr>
              <w:t>中华人民共和国法定计量单位</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sym w:font="Wingdings 2" w:char="00A3"/>
            </w:r>
            <w:r>
              <w:rPr>
                <w:rFonts w:hint="eastAsia" w:ascii="宋体" w:hAnsi="宋体" w:eastAsia="宋体" w:cs="宋体"/>
                <w:bCs/>
                <w:color w:val="auto"/>
                <w:kern w:val="0"/>
                <w:szCs w:val="21"/>
                <w:highlight w:val="none"/>
              </w:rPr>
              <w:t>其他：</w:t>
            </w:r>
          </w:p>
        </w:tc>
      </w:tr>
      <w:tr>
        <w:tblPrEx>
          <w:tblCellMar>
            <w:top w:w="0" w:type="dxa"/>
            <w:left w:w="108" w:type="dxa"/>
            <w:bottom w:w="0" w:type="dxa"/>
            <w:right w:w="108" w:type="dxa"/>
          </w:tblCellMar>
        </w:tblPrEx>
        <w:trPr>
          <w:trHeight w:val="1596"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现场考察、磋商前答疑会</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kern w:val="0"/>
                <w:szCs w:val="21"/>
                <w:highlight w:val="none"/>
              </w:rPr>
              <w:t>不组织</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组织，时  间：</w:t>
            </w:r>
            <w:r>
              <w:rPr>
                <w:rFonts w:hint="eastAsia" w:ascii="宋体" w:hAnsi="宋体" w:eastAsia="宋体" w:cs="宋体"/>
                <w:bCs/>
                <w:color w:val="auto"/>
                <w:kern w:val="0"/>
                <w:szCs w:val="21"/>
                <w:highlight w:val="none"/>
                <w:u w:val="single"/>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105" w:leftChars="-50" w:right="0" w:firstLine="949" w:firstLineChars="45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点：</w:t>
            </w:r>
            <w:r>
              <w:rPr>
                <w:rFonts w:hint="eastAsia" w:ascii="宋体" w:hAnsi="宋体" w:eastAsia="宋体" w:cs="宋体"/>
                <w:bCs/>
                <w:color w:val="auto"/>
                <w:kern w:val="0"/>
                <w:szCs w:val="21"/>
                <w:highlight w:val="none"/>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105" w:leftChars="-50" w:right="0" w:firstLine="949" w:firstLineChars="45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r>
              <w:rPr>
                <w:rFonts w:hint="eastAsia" w:ascii="宋体" w:hAnsi="宋体" w:eastAsia="宋体" w:cs="宋体"/>
                <w:bCs/>
                <w:color w:val="auto"/>
                <w:kern w:val="0"/>
                <w:szCs w:val="21"/>
                <w:highlight w:val="none"/>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105" w:leftChars="-50" w:right="0" w:firstLine="949" w:firstLineChars="45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w:t>
            </w:r>
            <w:r>
              <w:rPr>
                <w:rFonts w:hint="eastAsia" w:ascii="宋体" w:hAnsi="宋体" w:eastAsia="宋体" w:cs="宋体"/>
                <w:bCs/>
                <w:color w:val="auto"/>
                <w:kern w:val="0"/>
                <w:szCs w:val="21"/>
                <w:highlight w:val="none"/>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组织，采购文件提供期限截止后以书面形式通知。</w:t>
            </w:r>
          </w:p>
        </w:tc>
      </w:tr>
      <w:tr>
        <w:tblPrEx>
          <w:tblCellMar>
            <w:top w:w="0" w:type="dxa"/>
            <w:left w:w="108" w:type="dxa"/>
            <w:bottom w:w="0" w:type="dxa"/>
            <w:right w:w="108" w:type="dxa"/>
          </w:tblCellMar>
        </w:tblPrEx>
        <w:trPr>
          <w:trHeight w:val="760" w:hRule="atLeast"/>
          <w:jc w:val="center"/>
        </w:trPr>
        <w:tc>
          <w:tcPr>
            <w:tcW w:w="771"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9.1</w:t>
            </w:r>
          </w:p>
        </w:tc>
        <w:tc>
          <w:tcPr>
            <w:tcW w:w="1869"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spacing w:before="0" w:beforeAutospacing="0" w:after="0" w:afterAutospacing="0" w:line="360" w:lineRule="exact"/>
              <w:ind w:left="0" w:right="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供应商提出疑问时间及澄清修改采购文件</w:t>
            </w:r>
          </w:p>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kern w:val="0"/>
                <w:szCs w:val="21"/>
                <w:highlight w:val="none"/>
              </w:rPr>
            </w:pP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任何要求对</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进行澄清的</w:t>
            </w: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，均应在</w:t>
            </w:r>
            <w:r>
              <w:rPr>
                <w:rFonts w:hint="eastAsia" w:ascii="宋体" w:hAnsi="宋体" w:cs="宋体"/>
                <w:color w:val="auto"/>
                <w:sz w:val="21"/>
                <w:szCs w:val="21"/>
                <w:highlight w:val="none"/>
                <w:lang w:eastAsia="zh-CN"/>
              </w:rPr>
              <w:t>法律规定的时限</w:t>
            </w:r>
            <w:r>
              <w:rPr>
                <w:rFonts w:hint="eastAsia" w:ascii="宋体" w:hAnsi="宋体" w:eastAsia="宋体" w:cs="宋体"/>
                <w:color w:val="auto"/>
                <w:sz w:val="21"/>
                <w:szCs w:val="21"/>
                <w:highlight w:val="none"/>
              </w:rPr>
              <w:t>前</w:t>
            </w:r>
            <w:r>
              <w:rPr>
                <w:rFonts w:hint="eastAsia" w:ascii="宋体" w:hAnsi="宋体" w:cs="宋体"/>
                <w:color w:val="auto"/>
                <w:sz w:val="21"/>
                <w:szCs w:val="21"/>
                <w:highlight w:val="none"/>
                <w:lang w:eastAsia="zh-CN"/>
              </w:rPr>
              <w:t>以书面</w:t>
            </w:r>
            <w:r>
              <w:rPr>
                <w:rFonts w:hint="eastAsia" w:ascii="宋体" w:hAnsi="宋体" w:eastAsia="宋体" w:cs="宋体"/>
                <w:color w:val="auto"/>
                <w:sz w:val="21"/>
                <w:szCs w:val="21"/>
                <w:highlight w:val="none"/>
              </w:rPr>
              <w:t>的形式对</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提出疑问。</w:t>
            </w:r>
          </w:p>
        </w:tc>
      </w:tr>
      <w:tr>
        <w:tblPrEx>
          <w:tblCellMar>
            <w:top w:w="0" w:type="dxa"/>
            <w:left w:w="108" w:type="dxa"/>
            <w:bottom w:w="0" w:type="dxa"/>
            <w:right w:w="108" w:type="dxa"/>
          </w:tblCellMar>
        </w:tblPrEx>
        <w:trPr>
          <w:trHeight w:val="1513" w:hRule="atLeast"/>
          <w:jc w:val="center"/>
        </w:trPr>
        <w:tc>
          <w:tcPr>
            <w:tcW w:w="771"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869" w:type="dxa"/>
            <w:vMerge w:val="continue"/>
            <w:tcBorders>
              <w:left w:val="single" w:color="auto" w:sz="4" w:space="0"/>
              <w:right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kern w:val="0"/>
                <w:szCs w:val="21"/>
                <w:highlight w:val="none"/>
              </w:rPr>
            </w:pP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采购代理机构对规定时间前收到的任何</w:t>
            </w:r>
            <w:r>
              <w:rPr>
                <w:rFonts w:hint="eastAsia" w:ascii="宋体" w:hAnsi="宋体" w:cs="宋体"/>
                <w:color w:val="auto"/>
                <w:sz w:val="21"/>
                <w:szCs w:val="21"/>
                <w:highlight w:val="none"/>
                <w:lang w:val="en-US" w:eastAsia="zh-CN"/>
              </w:rPr>
              <w:t>疑问</w:t>
            </w:r>
            <w:r>
              <w:rPr>
                <w:rFonts w:hint="eastAsia" w:ascii="宋体" w:hAnsi="宋体" w:eastAsia="宋体" w:cs="宋体"/>
                <w:color w:val="auto"/>
                <w:sz w:val="21"/>
                <w:szCs w:val="21"/>
                <w:highlight w:val="none"/>
              </w:rPr>
              <w:t>将通过</w:t>
            </w:r>
            <w:r>
              <w:rPr>
                <w:rFonts w:hint="eastAsia" w:ascii="宋体" w:hAnsi="宋体" w:cs="宋体"/>
                <w:color w:val="auto"/>
                <w:sz w:val="21"/>
                <w:szCs w:val="21"/>
                <w:highlight w:val="none"/>
                <w:lang w:eastAsia="zh-CN"/>
              </w:rPr>
              <w:t>书面</w:t>
            </w:r>
            <w:r>
              <w:rPr>
                <w:rFonts w:hint="eastAsia" w:ascii="宋体" w:hAnsi="宋体" w:eastAsia="宋体" w:cs="宋体"/>
                <w:color w:val="auto"/>
                <w:sz w:val="21"/>
                <w:szCs w:val="21"/>
                <w:highlight w:val="none"/>
              </w:rPr>
              <w:t>形式予以答复，同时将此答复上传通知所有</w:t>
            </w:r>
            <w:r>
              <w:rPr>
                <w:rFonts w:hint="eastAsia" w:ascii="宋体" w:hAnsi="宋体" w:cs="宋体"/>
                <w:color w:val="auto"/>
                <w:kern w:val="0"/>
                <w:highlight w:val="none"/>
                <w:lang w:val="en-US" w:eastAsia="zh-CN"/>
              </w:rPr>
              <w:t>供应商</w:t>
            </w:r>
            <w:r>
              <w:rPr>
                <w:rFonts w:hint="eastAsia" w:ascii="宋体" w:hAnsi="宋体" w:eastAsia="宋体" w:cs="宋体"/>
                <w:color w:val="auto"/>
                <w:sz w:val="21"/>
                <w:szCs w:val="21"/>
                <w:highlight w:val="none"/>
              </w:rPr>
              <w:t>（或召开答疑会），答复中包括所问问题，但不包括问题的来源，并视为本</w:t>
            </w:r>
            <w:r>
              <w:rPr>
                <w:rFonts w:hint="eastAsia" w:ascii="宋体" w:hAnsi="宋体" w:cs="宋体"/>
                <w:color w:val="auto"/>
                <w:sz w:val="21"/>
                <w:szCs w:val="21"/>
                <w:highlight w:val="none"/>
                <w:lang w:val="en-US" w:eastAsia="zh-CN"/>
              </w:rPr>
              <w:t>采购</w:t>
            </w:r>
            <w:r>
              <w:rPr>
                <w:rFonts w:hint="eastAsia" w:ascii="宋体"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的组成部分。</w:t>
            </w:r>
          </w:p>
        </w:tc>
      </w:tr>
      <w:tr>
        <w:tblPrEx>
          <w:tblCellMar>
            <w:top w:w="0" w:type="dxa"/>
            <w:left w:w="108" w:type="dxa"/>
            <w:bottom w:w="0" w:type="dxa"/>
            <w:right w:w="108" w:type="dxa"/>
          </w:tblCellMar>
        </w:tblPrEx>
        <w:trPr>
          <w:trHeight w:val="760" w:hRule="atLeast"/>
          <w:jc w:val="center"/>
        </w:trPr>
        <w:tc>
          <w:tcPr>
            <w:tcW w:w="77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869"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kern w:val="0"/>
                <w:szCs w:val="21"/>
                <w:highlight w:val="none"/>
              </w:rPr>
            </w:pP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360" w:lineRule="exact"/>
              <w:ind w:left="0" w:right="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 w:val="21"/>
                <w:szCs w:val="21"/>
                <w:highlight w:val="none"/>
              </w:rPr>
              <w:t>特别提醒：供应商应及时关注网上关于本项目的更正信息，未能及时关注更正信息的</w:t>
            </w:r>
            <w:r>
              <w:rPr>
                <w:rFonts w:hint="eastAsia" w:ascii="宋体" w:hAnsi="宋体"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提出任何异议，采购人与</w:t>
            </w:r>
            <w:r>
              <w:rPr>
                <w:rFonts w:hint="eastAsia" w:ascii="宋体" w:hAnsi="宋体" w:cs="宋体"/>
                <w:b/>
                <w:bCs/>
                <w:color w:val="auto"/>
                <w:sz w:val="21"/>
                <w:szCs w:val="21"/>
                <w:highlight w:val="none"/>
                <w:lang w:val="en-US" w:eastAsia="zh-CN"/>
              </w:rPr>
              <w:t>采购</w:t>
            </w:r>
            <w:r>
              <w:rPr>
                <w:rFonts w:hint="eastAsia" w:ascii="宋体" w:hAnsi="宋体" w:eastAsia="宋体" w:cs="宋体"/>
                <w:b/>
                <w:bCs/>
                <w:color w:val="auto"/>
                <w:sz w:val="21"/>
                <w:szCs w:val="21"/>
                <w:highlight w:val="none"/>
              </w:rPr>
              <w:t>代理机构概不负责，不予回复。</w:t>
            </w:r>
          </w:p>
        </w:tc>
      </w:tr>
      <w:tr>
        <w:tblPrEx>
          <w:tblCellMar>
            <w:top w:w="0" w:type="dxa"/>
            <w:left w:w="108" w:type="dxa"/>
            <w:bottom w:w="0" w:type="dxa"/>
            <w:right w:w="108" w:type="dxa"/>
          </w:tblCellMar>
        </w:tblPrEx>
        <w:trPr>
          <w:trHeight w:val="90"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样品或演示</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kern w:val="0"/>
                <w:szCs w:val="21"/>
                <w:highlight w:val="none"/>
              </w:rPr>
              <w:t>不</w:t>
            </w:r>
            <w:r>
              <w:rPr>
                <w:rFonts w:hint="eastAsia" w:ascii="宋体" w:hAnsi="宋体" w:eastAsia="宋体" w:cs="宋体"/>
                <w:bCs/>
                <w:color w:val="auto"/>
                <w:kern w:val="0"/>
                <w:szCs w:val="21"/>
                <w:highlight w:val="none"/>
              </w:rPr>
              <w:t>需要提供样品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bCs/>
                <w:color w:val="auto"/>
                <w:kern w:val="0"/>
                <w:szCs w:val="21"/>
                <w:highlight w:val="none"/>
              </w:rPr>
              <w:t>需要提供样品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210" w:firstLineChars="100"/>
              <w:textAlignment w:val="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1、递交</w:t>
            </w:r>
            <w:r>
              <w:rPr>
                <w:rFonts w:hint="eastAsia" w:ascii="宋体" w:hAnsi="宋体" w:eastAsia="宋体" w:cs="宋体"/>
                <w:bCs/>
                <w:color w:val="auto"/>
                <w:kern w:val="0"/>
                <w:szCs w:val="21"/>
                <w:highlight w:val="none"/>
              </w:rPr>
              <w:t>样品的截止时间：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时</w:t>
            </w:r>
            <w:r>
              <w:rPr>
                <w:rFonts w:hint="eastAsia" w:ascii="宋体" w:hAnsi="宋体" w:eastAsia="宋体" w:cs="宋体"/>
                <w:bCs/>
                <w:color w:val="auto"/>
                <w:kern w:val="0"/>
                <w:szCs w:val="21"/>
                <w:highlight w:val="none"/>
              </w:rPr>
              <w:t>（北京时间）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525" w:firstLineChars="25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递交样品地点：</w:t>
            </w:r>
            <w:r>
              <w:rPr>
                <w:rFonts w:hint="eastAsia" w:ascii="宋体" w:hAnsi="宋体" w:eastAsia="宋体" w:cs="宋体"/>
                <w:color w:val="auto"/>
                <w:kern w:val="0"/>
                <w:szCs w:val="21"/>
                <w:highlight w:val="none"/>
                <w:u w:val="singl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525" w:firstLineChars="25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递交样品联系人：</w:t>
            </w:r>
            <w:r>
              <w:rPr>
                <w:rFonts w:hint="eastAsia" w:ascii="宋体" w:hAnsi="宋体" w:eastAsia="宋体" w:cs="宋体"/>
                <w:color w:val="auto"/>
                <w:kern w:val="0"/>
                <w:szCs w:val="21"/>
                <w:highlight w:val="none"/>
                <w:u w:val="singl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525" w:firstLineChars="25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递交样品联系电话：</w:t>
            </w:r>
            <w:r>
              <w:rPr>
                <w:rFonts w:hint="eastAsia" w:ascii="宋体" w:hAnsi="宋体" w:eastAsia="宋体" w:cs="宋体"/>
                <w:color w:val="auto"/>
                <w:kern w:val="0"/>
                <w:szCs w:val="21"/>
                <w:highlight w:val="none"/>
                <w:u w:val="singl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2、样品制作的标准和要求：</w:t>
            </w:r>
            <w:r>
              <w:rPr>
                <w:rFonts w:hint="eastAsia" w:ascii="宋体" w:hAnsi="宋体" w:eastAsia="宋体" w:cs="宋体"/>
                <w:color w:val="auto"/>
                <w:kern w:val="0"/>
                <w:szCs w:val="21"/>
                <w:highlight w:val="none"/>
                <w:u w:val="singl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3、随样品提交相关检测报告要求：</w:t>
            </w:r>
            <w:r>
              <w:rPr>
                <w:rFonts w:hint="eastAsia" w:ascii="宋体" w:hAnsi="宋体" w:eastAsia="宋体" w:cs="宋体"/>
                <w:color w:val="auto"/>
                <w:kern w:val="0"/>
                <w:szCs w:val="21"/>
                <w:highlight w:val="none"/>
                <w:u w:val="singl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（包含是否要求提供、检测机构要求、检测内容等）</w:t>
            </w:r>
          </w:p>
          <w:p>
            <w:pPr>
              <w:keepNext w:val="0"/>
              <w:keepLines w:val="0"/>
              <w:pageBreakBefore w:val="0"/>
              <w:widowControl w:val="0"/>
              <w:numPr>
                <w:ilvl w:val="0"/>
                <w:numId w:val="9"/>
              </w:numPr>
              <w:suppressLineNumbers w:val="0"/>
              <w:kinsoku/>
              <w:wordWrap/>
              <w:overflowPunct/>
              <w:topLinePunct w:val="0"/>
              <w:autoSpaceDE/>
              <w:autoSpaceDN/>
              <w:bidi w:val="0"/>
              <w:adjustRightInd/>
              <w:snapToGrid/>
              <w:spacing w:before="0" w:beforeAutospacing="0" w:after="0" w:afterAutospacing="0" w:line="380" w:lineRule="exact"/>
              <w:ind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210" w:right="0"/>
              <w:textAlignment w:val="auto"/>
              <w:rPr>
                <w:rFonts w:hint="eastAsia" w:ascii="宋体" w:hAnsi="宋体" w:eastAsia="宋体" w:cs="宋体"/>
                <w:color w:val="auto"/>
                <w:kern w:val="0"/>
                <w:szCs w:val="21"/>
                <w:highlight w:val="none"/>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kern w:val="0"/>
                <w:szCs w:val="21"/>
                <w:highlight w:val="none"/>
              </w:rPr>
              <w:t>不</w:t>
            </w:r>
            <w:r>
              <w:rPr>
                <w:rFonts w:hint="eastAsia" w:ascii="宋体" w:hAnsi="宋体" w:eastAsia="宋体" w:cs="宋体"/>
                <w:bCs/>
                <w:color w:val="auto"/>
                <w:kern w:val="0"/>
                <w:szCs w:val="21"/>
                <w:highlight w:val="none"/>
              </w:rPr>
              <w:t>需要提供演示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需要</w:t>
            </w:r>
            <w:r>
              <w:rPr>
                <w:rFonts w:hint="eastAsia" w:ascii="宋体" w:hAnsi="宋体" w:eastAsia="宋体" w:cs="宋体"/>
                <w:bCs/>
                <w:color w:val="auto"/>
                <w:kern w:val="0"/>
                <w:szCs w:val="21"/>
                <w:highlight w:val="none"/>
              </w:rPr>
              <w:t>提供演示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1、演示时间：</w:t>
            </w:r>
            <w:r>
              <w:rPr>
                <w:rFonts w:hint="eastAsia" w:ascii="宋体" w:hAnsi="宋体" w:eastAsia="宋体" w:cs="宋体"/>
                <w:color w:val="auto"/>
                <w:kern w:val="0"/>
                <w:szCs w:val="21"/>
                <w:highlight w:val="none"/>
                <w:u w:val="singl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演示地点：</w:t>
            </w:r>
            <w:r>
              <w:rPr>
                <w:rFonts w:hint="eastAsia" w:ascii="宋体" w:hAnsi="宋体" w:eastAsia="宋体" w:cs="宋体"/>
                <w:color w:val="auto"/>
                <w:kern w:val="0"/>
                <w:szCs w:val="21"/>
                <w:highlight w:val="none"/>
                <w:u w:val="singl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演示顺序：</w:t>
            </w:r>
            <w:r>
              <w:rPr>
                <w:rFonts w:hint="eastAsia" w:ascii="宋体" w:hAnsi="宋体" w:eastAsia="宋体" w:cs="宋体"/>
                <w:color w:val="auto"/>
                <w:kern w:val="0"/>
                <w:szCs w:val="21"/>
                <w:highlight w:val="none"/>
                <w:u w:val="single"/>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firstLine="210" w:firstLineChars="1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2、演示要求：</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（内容、设备等要求）</w:t>
            </w:r>
          </w:p>
        </w:tc>
      </w:tr>
      <w:tr>
        <w:tblPrEx>
          <w:tblCellMar>
            <w:top w:w="0" w:type="dxa"/>
            <w:left w:w="108" w:type="dxa"/>
            <w:bottom w:w="0" w:type="dxa"/>
            <w:right w:w="108" w:type="dxa"/>
          </w:tblCellMar>
        </w:tblPrEx>
        <w:trPr>
          <w:trHeight w:val="537"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响应报价货币要求</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kern w:val="0"/>
                <w:szCs w:val="21"/>
                <w:highlight w:val="none"/>
              </w:rPr>
              <w:t>所有响应文件中均按人民币进行报价。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其它：</w:t>
            </w: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711"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numPr>
                <w:ilvl w:val="0"/>
                <w:numId w:val="0"/>
              </w:numPr>
              <w:suppressLineNumbers w:val="0"/>
              <w:spacing w:before="0" w:beforeAutospacing="0" w:after="0" w:afterAutospacing="0" w:line="360" w:lineRule="auto"/>
              <w:ind w:left="0" w:right="0" w:rightChars="0"/>
              <w:rPr>
                <w:rFonts w:hint="default" w:ascii="宋体" w:hAnsi="宋体" w:eastAsia="宋体" w:cs="宋体"/>
                <w:i w:val="0"/>
                <w:iCs w:val="0"/>
                <w:color w:val="auto"/>
                <w:kern w:val="0"/>
                <w:sz w:val="21"/>
                <w:szCs w:val="21"/>
                <w:highlight w:val="none"/>
                <w:lang w:val="en-US" w:eastAsia="zh-CN"/>
              </w:rPr>
            </w:pPr>
            <w:r>
              <w:rPr>
                <w:rFonts w:hint="eastAsia" w:ascii="宋体" w:hAnsi="宋体" w:cs="宋体"/>
                <w:i w:val="0"/>
                <w:iCs w:val="0"/>
                <w:color w:val="auto"/>
                <w:kern w:val="0"/>
                <w:sz w:val="21"/>
                <w:szCs w:val="21"/>
                <w:highlight w:val="none"/>
                <w:lang w:val="en-US" w:eastAsia="zh-CN"/>
              </w:rPr>
              <w:t>无</w:t>
            </w:r>
          </w:p>
        </w:tc>
      </w:tr>
      <w:tr>
        <w:tblPrEx>
          <w:tblCellMar>
            <w:top w:w="0" w:type="dxa"/>
            <w:left w:w="108" w:type="dxa"/>
            <w:bottom w:w="0" w:type="dxa"/>
            <w:right w:w="108" w:type="dxa"/>
          </w:tblCellMar>
        </w:tblPrEx>
        <w:trPr>
          <w:trHeight w:val="442"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响应有效期</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u w:val="single"/>
                <w:lang w:val="en-US" w:eastAsia="zh-CN"/>
              </w:rPr>
              <w:t xml:space="preserve">  90  </w:t>
            </w:r>
            <w:r>
              <w:rPr>
                <w:rFonts w:hint="eastAsia" w:ascii="宋体" w:hAnsi="宋体" w:eastAsia="宋体" w:cs="宋体"/>
                <w:color w:val="auto"/>
                <w:kern w:val="0"/>
                <w:szCs w:val="21"/>
                <w:highlight w:val="none"/>
                <w:lang w:val="en-US" w:eastAsia="zh-CN"/>
              </w:rPr>
              <w:t>日历日</w:t>
            </w:r>
          </w:p>
        </w:tc>
      </w:tr>
      <w:tr>
        <w:tblPrEx>
          <w:tblCellMar>
            <w:top w:w="0" w:type="dxa"/>
            <w:left w:w="108" w:type="dxa"/>
            <w:bottom w:w="0" w:type="dxa"/>
            <w:right w:w="108" w:type="dxa"/>
          </w:tblCellMar>
        </w:tblPrEx>
        <w:trPr>
          <w:trHeight w:val="257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投标文件及电子文档份数</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color w:val="auto"/>
                <w:highlight w:val="none"/>
              </w:rPr>
            </w:pPr>
            <w:r>
              <w:rPr>
                <w:rFonts w:hint="eastAsia"/>
                <w:color w:val="auto"/>
                <w:highlight w:val="none"/>
              </w:rPr>
              <w:t>电子文件（线上）：电子评审系统上传的电子投标文件须按辽宁政府采购网相关要求编制上传。</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color w:val="auto"/>
                <w:highlight w:val="none"/>
              </w:rPr>
            </w:pPr>
            <w:r>
              <w:rPr>
                <w:rFonts w:hint="eastAsia"/>
                <w:color w:val="auto"/>
                <w:highlight w:val="none"/>
              </w:rPr>
              <w:t>备份文件（线下）：电子U盘文档 1 份（备份文件提供的版本应</w:t>
            </w:r>
            <w:r>
              <w:rPr>
                <w:rFonts w:hint="eastAsia"/>
                <w:color w:val="auto"/>
                <w:highlight w:val="none"/>
                <w:lang w:eastAsia="zh-CN"/>
              </w:rPr>
              <w:t>与</w:t>
            </w:r>
            <w:r>
              <w:rPr>
                <w:rFonts w:hint="eastAsia"/>
                <w:color w:val="auto"/>
                <w:highlight w:val="none"/>
              </w:rPr>
              <w:t>电子评审系统上传的版本完全一致）</w:t>
            </w:r>
          </w:p>
        </w:tc>
      </w:tr>
      <w:tr>
        <w:tblPrEx>
          <w:tblCellMar>
            <w:top w:w="0" w:type="dxa"/>
            <w:left w:w="108" w:type="dxa"/>
            <w:bottom w:w="0" w:type="dxa"/>
            <w:right w:w="108" w:type="dxa"/>
          </w:tblCellMar>
        </w:tblPrEx>
        <w:trPr>
          <w:trHeight w:val="141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16.2</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构成投标文件的其他材料</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电子版工程量清单报价书、投标文件电子版（Excel、word文件格式）。</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注:装入U盘</w:t>
            </w:r>
            <w:r>
              <w:rPr>
                <w:rFonts w:hint="eastAsia" w:ascii="Times New Roman" w:hAnsi="Times New Roman" w:cs="Times New Roman"/>
                <w:color w:val="auto"/>
                <w:highlight w:val="none"/>
                <w:lang w:eastAsia="zh-CN"/>
              </w:rPr>
              <w:t>后</w:t>
            </w:r>
            <w:r>
              <w:rPr>
                <w:rFonts w:hint="eastAsia" w:ascii="Times New Roman" w:hAnsi="Times New Roman" w:cs="Times New Roman"/>
                <w:color w:val="auto"/>
                <w:highlight w:val="none"/>
              </w:rPr>
              <w:t>递交。</w:t>
            </w:r>
          </w:p>
        </w:tc>
      </w:tr>
      <w:tr>
        <w:tblPrEx>
          <w:tblCellMar>
            <w:top w:w="0" w:type="dxa"/>
            <w:left w:w="108" w:type="dxa"/>
            <w:bottom w:w="0" w:type="dxa"/>
            <w:right w:w="108" w:type="dxa"/>
          </w:tblCellMar>
        </w:tblPrEx>
        <w:trPr>
          <w:trHeight w:val="537"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递交响应文件截止时间、地点：</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详见采购公告，以采购公告规定时间、地点为准。</w:t>
            </w:r>
          </w:p>
        </w:tc>
      </w:tr>
      <w:tr>
        <w:tblPrEx>
          <w:tblCellMar>
            <w:top w:w="0" w:type="dxa"/>
            <w:left w:w="108" w:type="dxa"/>
            <w:bottom w:w="0" w:type="dxa"/>
            <w:right w:w="108" w:type="dxa"/>
          </w:tblCellMar>
        </w:tblPrEx>
        <w:trPr>
          <w:trHeight w:val="537"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20.1</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磋商会议时间、地点：</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详见采购公告，以采购公告规定时间、地点为准。</w:t>
            </w:r>
          </w:p>
        </w:tc>
      </w:tr>
      <w:tr>
        <w:tblPrEx>
          <w:tblCellMar>
            <w:top w:w="0" w:type="dxa"/>
            <w:left w:w="108" w:type="dxa"/>
            <w:bottom w:w="0" w:type="dxa"/>
            <w:right w:w="108" w:type="dxa"/>
          </w:tblCellMar>
        </w:tblPrEx>
        <w:trPr>
          <w:trHeight w:val="430"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21.2</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磋商小组组成</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磋商小组由采购人代表</w:t>
            </w:r>
            <w:r>
              <w:rPr>
                <w:rFonts w:hint="eastAsia" w:ascii="宋体" w:hAnsi="宋体" w:eastAsia="宋体" w:cs="宋体"/>
                <w:color w:val="auto"/>
                <w:szCs w:val="21"/>
                <w:highlight w:val="none"/>
                <w:u w:val="single"/>
              </w:rPr>
              <w:t>1</w:t>
            </w:r>
            <w:r>
              <w:rPr>
                <w:rFonts w:hint="eastAsia" w:ascii="宋体" w:hAnsi="宋体" w:eastAsia="宋体" w:cs="宋体"/>
                <w:color w:val="auto"/>
                <w:szCs w:val="21"/>
                <w:highlight w:val="none"/>
              </w:rPr>
              <w:t>人，评审专家</w:t>
            </w:r>
            <w:r>
              <w:rPr>
                <w:rFonts w:hint="eastAsia" w:ascii="宋体" w:hAnsi="宋体" w:cs="宋体"/>
                <w:color w:val="auto"/>
                <w:szCs w:val="21"/>
                <w:highlight w:val="none"/>
                <w:u w:val="single"/>
                <w:lang w:val="en-US" w:eastAsia="zh-CN"/>
              </w:rPr>
              <w:t>2</w:t>
            </w:r>
            <w:r>
              <w:rPr>
                <w:rFonts w:hint="eastAsia" w:ascii="宋体" w:hAnsi="宋体" w:eastAsia="宋体" w:cs="宋体"/>
                <w:color w:val="auto"/>
                <w:szCs w:val="21"/>
                <w:highlight w:val="none"/>
              </w:rPr>
              <w:t>人组成，共</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rPr>
              <w:t>人。</w:t>
            </w:r>
          </w:p>
        </w:tc>
      </w:tr>
      <w:tr>
        <w:tblPrEx>
          <w:tblCellMar>
            <w:top w:w="0" w:type="dxa"/>
            <w:left w:w="108" w:type="dxa"/>
            <w:bottom w:w="0" w:type="dxa"/>
            <w:right w:w="108" w:type="dxa"/>
          </w:tblCellMar>
        </w:tblPrEx>
        <w:trPr>
          <w:trHeight w:val="1861"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24.1</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样品的评审办法以及评审标准</w:t>
            </w:r>
          </w:p>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演示的评审办法及评审标准</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bCs/>
                <w:color w:val="auto"/>
                <w:kern w:val="0"/>
                <w:szCs w:val="21"/>
                <w:highlight w:val="none"/>
              </w:rPr>
              <w:t>样品：</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1、样品评审办法：</w:t>
            </w:r>
            <w:r>
              <w:rPr>
                <w:rFonts w:hint="eastAsia" w:ascii="宋体" w:hAnsi="宋体" w:eastAsia="宋体" w:cs="宋体"/>
                <w:color w:val="auto"/>
                <w:kern w:val="0"/>
                <w:szCs w:val="21"/>
                <w:highlight w:val="none"/>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2、样品评审标准：</w:t>
            </w:r>
            <w:r>
              <w:rPr>
                <w:rFonts w:hint="eastAsia" w:ascii="宋体" w:hAnsi="宋体" w:eastAsia="宋体" w:cs="宋体"/>
                <w:color w:val="auto"/>
                <w:kern w:val="0"/>
                <w:szCs w:val="21"/>
                <w:highlight w:val="none"/>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u w:val="single"/>
              </w:rPr>
            </w:pP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sym w:font="Wingdings 2" w:char="00A3"/>
            </w:r>
            <w:r>
              <w:rPr>
                <w:rFonts w:hint="eastAsia" w:ascii="宋体" w:hAnsi="宋体" w:eastAsia="宋体" w:cs="宋体"/>
                <w:color w:val="auto"/>
                <w:kern w:val="0"/>
                <w:szCs w:val="21"/>
                <w:highlight w:val="none"/>
              </w:rPr>
              <w:t>演示：</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1、演示评审办法：</w:t>
            </w:r>
            <w:r>
              <w:rPr>
                <w:rFonts w:hint="eastAsia" w:ascii="宋体" w:hAnsi="宋体" w:eastAsia="宋体" w:cs="宋体"/>
                <w:color w:val="auto"/>
                <w:kern w:val="0"/>
                <w:szCs w:val="21"/>
                <w:highlight w:val="none"/>
                <w:u w:val="single"/>
              </w:rPr>
              <w:t xml:space="preserve">              </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2、演示评审标准：</w:t>
            </w:r>
            <w:r>
              <w:rPr>
                <w:rFonts w:hint="eastAsia" w:ascii="宋体" w:hAnsi="宋体" w:eastAsia="宋体" w:cs="宋体"/>
                <w:color w:val="auto"/>
                <w:kern w:val="0"/>
                <w:szCs w:val="21"/>
                <w:highlight w:val="none"/>
                <w:u w:val="single"/>
              </w:rPr>
              <w:t xml:space="preserve">              </w:t>
            </w:r>
          </w:p>
        </w:tc>
      </w:tr>
      <w:tr>
        <w:tblPrEx>
          <w:tblCellMar>
            <w:top w:w="0" w:type="dxa"/>
            <w:left w:w="108" w:type="dxa"/>
            <w:bottom w:w="0" w:type="dxa"/>
            <w:right w:w="108" w:type="dxa"/>
          </w:tblCellMar>
        </w:tblPrEx>
        <w:trPr>
          <w:trHeight w:val="430"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29.2</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评审办法</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w:t>
            </w:r>
          </w:p>
        </w:tc>
      </w:tr>
      <w:tr>
        <w:tblPrEx>
          <w:tblCellMar>
            <w:top w:w="0" w:type="dxa"/>
            <w:left w:w="108" w:type="dxa"/>
            <w:bottom w:w="0" w:type="dxa"/>
            <w:right w:w="108" w:type="dxa"/>
          </w:tblCellMar>
        </w:tblPrEx>
        <w:trPr>
          <w:trHeight w:val="537"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31.2</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推荐成交候选供应商的数量</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u w:val="none"/>
                <w:lang w:val="en-US" w:eastAsia="zh-CN"/>
              </w:rPr>
              <w:t>3</w:t>
            </w:r>
            <w:r>
              <w:rPr>
                <w:rFonts w:hint="eastAsia" w:ascii="宋体" w:hAnsi="宋体" w:eastAsia="宋体" w:cs="宋体"/>
                <w:color w:val="auto"/>
                <w:kern w:val="0"/>
                <w:szCs w:val="21"/>
                <w:highlight w:val="none"/>
                <w:u w:val="none"/>
                <w:lang w:val="en-US" w:eastAsia="zh-CN"/>
              </w:rPr>
              <w:t>名</w:t>
            </w:r>
          </w:p>
        </w:tc>
      </w:tr>
      <w:tr>
        <w:tblPrEx>
          <w:tblCellMar>
            <w:top w:w="0" w:type="dxa"/>
            <w:left w:w="108" w:type="dxa"/>
            <w:bottom w:w="0" w:type="dxa"/>
            <w:right w:w="108" w:type="dxa"/>
          </w:tblCellMar>
        </w:tblPrEx>
        <w:trPr>
          <w:trHeight w:val="802"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确定成交供应商的方式</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成交供应商数量：</w:t>
            </w:r>
            <w:r>
              <w:rPr>
                <w:rFonts w:hint="eastAsia" w:ascii="宋体" w:hAnsi="宋体" w:eastAsia="宋体" w:cs="宋体"/>
                <w:color w:val="auto"/>
                <w:kern w:val="0"/>
                <w:szCs w:val="21"/>
                <w:highlight w:val="none"/>
                <w:u w:val="single"/>
              </w:rPr>
              <w:t>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u w:val="single"/>
              </w:rPr>
            </w:pPr>
            <w:r>
              <w:rPr>
                <w:rFonts w:hint="eastAsia" w:ascii="宋体" w:hAnsi="宋体" w:cs="宋体"/>
                <w:color w:val="auto"/>
                <w:highlight w:val="none"/>
                <w:lang w:eastAsia="zh-CN"/>
              </w:rPr>
              <w:t>□</w:t>
            </w:r>
            <w:r>
              <w:rPr>
                <w:rFonts w:hint="eastAsia" w:ascii="宋体" w:hAnsi="宋体" w:eastAsia="宋体" w:cs="宋体"/>
                <w:color w:val="auto"/>
                <w:kern w:val="0"/>
                <w:szCs w:val="21"/>
                <w:highlight w:val="none"/>
              </w:rPr>
              <w:t>采购人委托磋商小组直接确定成交供应商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u w:val="single"/>
              </w:rPr>
            </w:pP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采购人确定成交供应商</w:t>
            </w:r>
          </w:p>
        </w:tc>
      </w:tr>
      <w:tr>
        <w:tblPrEx>
          <w:tblCellMar>
            <w:top w:w="0" w:type="dxa"/>
            <w:left w:w="108" w:type="dxa"/>
            <w:bottom w:w="0" w:type="dxa"/>
            <w:right w:w="108" w:type="dxa"/>
          </w:tblCellMar>
        </w:tblPrEx>
        <w:trPr>
          <w:trHeight w:val="366"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37.1</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履约保证金</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auto"/>
                <w:szCs w:val="21"/>
                <w:highlight w:val="none"/>
              </w:rPr>
            </w:pPr>
            <w:r>
              <w:rPr>
                <w:rFonts w:hint="eastAsia" w:ascii="宋体" w:hAnsi="宋体" w:cs="宋体"/>
                <w:color w:val="auto"/>
                <w:kern w:val="0"/>
                <w:szCs w:val="21"/>
                <w:highlight w:val="none"/>
                <w:lang w:eastAsia="zh-CN"/>
              </w:rPr>
              <w:t>☑</w:t>
            </w:r>
            <w:r>
              <w:rPr>
                <w:rFonts w:hint="eastAsia" w:ascii="宋体" w:hAnsi="宋体" w:eastAsia="宋体" w:cs="宋体"/>
                <w:color w:val="auto"/>
                <w:szCs w:val="21"/>
                <w:highlight w:val="none"/>
              </w:rPr>
              <w:t>本项目不收取履约保证金</w:t>
            </w:r>
          </w:p>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auto"/>
                <w:kern w:val="0"/>
                <w:szCs w:val="21"/>
                <w:highlight w:val="none"/>
              </w:rPr>
            </w:pPr>
            <w:r>
              <w:rPr>
                <w:rFonts w:hint="eastAsia" w:ascii="宋体" w:hAnsi="宋体" w:cs="宋体"/>
                <w:color w:val="auto"/>
                <w:highlight w:val="none"/>
                <w:lang w:eastAsia="zh-CN"/>
              </w:rPr>
              <w:t>□</w:t>
            </w:r>
            <w:r>
              <w:rPr>
                <w:rFonts w:hint="eastAsia" w:ascii="宋体" w:hAnsi="宋体" w:eastAsia="宋体" w:cs="宋体"/>
                <w:color w:val="auto"/>
                <w:szCs w:val="21"/>
                <w:highlight w:val="none"/>
              </w:rPr>
              <w:t>本项目收取履约保证金</w:t>
            </w:r>
          </w:p>
        </w:tc>
      </w:tr>
      <w:tr>
        <w:tblPrEx>
          <w:tblCellMar>
            <w:top w:w="0" w:type="dxa"/>
            <w:left w:w="108" w:type="dxa"/>
            <w:bottom w:w="0" w:type="dxa"/>
            <w:right w:w="108" w:type="dxa"/>
          </w:tblCellMar>
        </w:tblPrEx>
        <w:trPr>
          <w:trHeight w:val="3280"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 xml:space="preserve"> </w:t>
            </w:r>
            <w:r>
              <w:rPr>
                <w:rFonts w:hint="eastAsia" w:ascii="宋体" w:hAnsi="宋体" w:eastAsia="宋体" w:cs="宋体"/>
                <w:color w:val="auto"/>
                <w:kern w:val="0"/>
                <w:szCs w:val="21"/>
                <w:highlight w:val="none"/>
              </w:rPr>
              <w:t>38</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采购代理服务费</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□本项目不收取采购代理服务费</w:t>
            </w:r>
          </w:p>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☑本项目收取采购代理服务费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210" w:firstLineChars="1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采购代理服务费：根据招标人与招标代理机构签订的招标代理委托合同中约定按“发改价格[2011]534号文件及[2015]299”规定收取，不足5000元的按5000元收取</w:t>
            </w:r>
            <w:r>
              <w:rPr>
                <w:rFonts w:hint="eastAsia" w:cs="Times New Roman"/>
                <w:color w:val="auto"/>
                <w:kern w:val="2"/>
                <w:sz w:val="21"/>
                <w:szCs w:val="24"/>
                <w:highlight w:val="none"/>
                <w:lang w:val="en-US" w:eastAsia="zh-CN" w:bidi="ar-SA"/>
              </w:rPr>
              <w:t>。采购代理服务费</w:t>
            </w:r>
            <w:r>
              <w:rPr>
                <w:rFonts w:hint="eastAsia" w:ascii="Times New Roman" w:hAnsi="Times New Roman" w:eastAsia="宋体" w:cs="Times New Roman"/>
                <w:color w:val="auto"/>
                <w:kern w:val="2"/>
                <w:sz w:val="21"/>
                <w:szCs w:val="24"/>
                <w:highlight w:val="none"/>
                <w:lang w:val="en-US" w:eastAsia="zh-CN" w:bidi="ar-SA"/>
              </w:rPr>
              <w:t>由中标单位支付。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210" w:firstLineChars="1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 xml:space="preserve">本次招标产生的评审费由中标单位支付，具体金额以实际评审支出为准。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210" w:firstLineChars="100"/>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支付形式：电汇、现金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210" w:firstLineChars="100"/>
              <w:textAlignment w:val="auto"/>
              <w:rPr>
                <w:rFonts w:hint="eastAsia"/>
                <w:color w:val="auto"/>
                <w:highlight w:val="none"/>
              </w:rPr>
            </w:pPr>
            <w:r>
              <w:rPr>
                <w:rFonts w:hint="eastAsia" w:ascii="Times New Roman" w:hAnsi="Times New Roman" w:cs="Times New Roman"/>
                <w:color w:val="auto"/>
                <w:highlight w:val="none"/>
              </w:rPr>
              <w:t>支付时间：领取成交通知书前支付</w:t>
            </w:r>
          </w:p>
        </w:tc>
      </w:tr>
      <w:tr>
        <w:tblPrEx>
          <w:tblCellMar>
            <w:top w:w="0" w:type="dxa"/>
            <w:left w:w="108" w:type="dxa"/>
            <w:bottom w:w="0" w:type="dxa"/>
            <w:right w:w="108" w:type="dxa"/>
          </w:tblCellMar>
        </w:tblPrEx>
        <w:trPr>
          <w:trHeight w:val="484"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41.3</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质疑</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一、供应商认为自己的权益受到损害的，可以在知道或者应知其权益受到损害之日起七个工作日内，向采购代理机构提出质疑。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1、接收质疑函的方式：接收加盖单位公章的书面质疑函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联系单位：</w:t>
            </w:r>
            <w:r>
              <w:rPr>
                <w:rFonts w:hint="eastAsia" w:ascii="宋体" w:hAnsi="宋体" w:cs="宋体"/>
                <w:color w:val="auto"/>
                <w:szCs w:val="21"/>
                <w:highlight w:val="none"/>
                <w:lang w:eastAsia="zh-CN"/>
              </w:rPr>
              <w:t>辽宁铁龙项目管理有限责任公司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cs="宋体"/>
                <w:color w:val="auto"/>
                <w:szCs w:val="21"/>
                <w:highlight w:val="none"/>
                <w:lang w:eastAsia="zh-CN"/>
              </w:rPr>
            </w:pPr>
            <w:r>
              <w:rPr>
                <w:rFonts w:hint="eastAsia" w:ascii="宋体" w:hAnsi="宋体" w:eastAsia="宋体" w:cs="宋体"/>
                <w:color w:val="auto"/>
                <w:szCs w:val="21"/>
                <w:highlight w:val="none"/>
              </w:rPr>
              <w:t>联 系 人：</w:t>
            </w:r>
            <w:r>
              <w:rPr>
                <w:rFonts w:hint="eastAsia" w:ascii="宋体" w:hAnsi="宋体" w:cs="宋体"/>
                <w:color w:val="auto"/>
                <w:szCs w:val="21"/>
                <w:highlight w:val="none"/>
                <w:lang w:eastAsia="zh-CN"/>
              </w:rPr>
              <w:t>吕先生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val="en-US" w:eastAsia="zh-CN"/>
              </w:rPr>
              <w:t>0416-2675555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通讯地址：</w:t>
            </w:r>
            <w:r>
              <w:rPr>
                <w:rFonts w:hint="eastAsia" w:ascii="宋体" w:hAnsi="宋体" w:cs="宋体"/>
                <w:color w:val="auto"/>
                <w:szCs w:val="21"/>
                <w:highlight w:val="none"/>
                <w:lang w:eastAsia="zh-CN"/>
              </w:rPr>
              <w:t>锦州市古塔区保安里50-81号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2、质疑函的内容、格式：应符合《政府采购质疑和投诉办法》相关规定和财政部门制定的《政府采购质疑函范本》格式。</w:t>
            </w:r>
          </w:p>
          <w:p>
            <w:pPr>
              <w:pStyle w:val="19"/>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szCs w:val="21"/>
                <w:highlight w:val="none"/>
                <w:lang w:val="en-US" w:eastAsia="zh-CN"/>
              </w:rPr>
              <w:t>二、供应商应在法定质疑期内一次性针对同一采购程序环节提出质疑，否则针对再次提出质疑将不予接收。（采购程序环节分为：采购公告、采购文件、采购过程、成交结果）</w:t>
            </w:r>
          </w:p>
        </w:tc>
      </w:tr>
      <w:tr>
        <w:tblPrEx>
          <w:tblCellMar>
            <w:top w:w="0" w:type="dxa"/>
            <w:left w:w="108" w:type="dxa"/>
            <w:bottom w:w="0" w:type="dxa"/>
            <w:right w:w="108" w:type="dxa"/>
          </w:tblCellMar>
        </w:tblPrEx>
        <w:trPr>
          <w:trHeight w:val="892"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42</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Cs w:val="21"/>
                <w:highlight w:val="none"/>
              </w:rPr>
              <w:t>履约验收</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380" w:lineRule="exact"/>
              <w:ind w:left="0" w:right="0"/>
              <w:jc w:val="left"/>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Cs w:val="21"/>
                <w:highlight w:val="none"/>
              </w:rPr>
              <w:t>按辽宁省财政厅《关于印发辽宁省政府采购履约验收管理办法的通知》（辽财采〔2017〕603号）规定执行。</w:t>
            </w:r>
          </w:p>
        </w:tc>
      </w:tr>
      <w:tr>
        <w:tblPrEx>
          <w:tblCellMar>
            <w:top w:w="0" w:type="dxa"/>
            <w:left w:w="108" w:type="dxa"/>
            <w:bottom w:w="0" w:type="dxa"/>
            <w:right w:w="108" w:type="dxa"/>
          </w:tblCellMar>
        </w:tblPrEx>
        <w:trPr>
          <w:trHeight w:val="380" w:hRule="atLeast"/>
          <w:jc w:val="center"/>
        </w:trPr>
        <w:tc>
          <w:tcPr>
            <w:tcW w:w="77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 其它</w:t>
            </w: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000000"/>
                <w:szCs w:val="21"/>
                <w:highlight w:val="none"/>
                <w:lang w:val="en-US" w:eastAsia="zh-CN"/>
              </w:rPr>
              <w:t>合同签订后预付总价款的20%，工程全部验收合格后，支付剩余尾款。</w:t>
            </w:r>
          </w:p>
        </w:tc>
      </w:tr>
      <w:tr>
        <w:tblPrEx>
          <w:tblCellMar>
            <w:top w:w="0" w:type="dxa"/>
            <w:left w:w="108" w:type="dxa"/>
            <w:bottom w:w="0" w:type="dxa"/>
            <w:right w:w="108" w:type="dxa"/>
          </w:tblCellMar>
        </w:tblPrEx>
        <w:trPr>
          <w:trHeight w:val="370" w:hRule="atLeast"/>
          <w:jc w:val="center"/>
        </w:trPr>
        <w:tc>
          <w:tcPr>
            <w:tcW w:w="7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质量保证金</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textAlignment w:val="auto"/>
              <w:rPr>
                <w:rFonts w:hint="default" w:ascii="宋体" w:hAnsi="宋体" w:cs="宋体"/>
                <w:color w:val="auto"/>
                <w:sz w:val="21"/>
                <w:szCs w:val="21"/>
                <w:highlight w:val="none"/>
                <w:lang w:val="en-US" w:eastAsia="zh-CN"/>
              </w:rPr>
            </w:pPr>
            <w:r>
              <w:rPr>
                <w:rFonts w:hint="eastAsia" w:ascii="宋体" w:hAnsi="宋体" w:eastAsia="宋体" w:cs="宋体"/>
                <w:szCs w:val="21"/>
                <w:highlight w:val="none"/>
                <w:lang w:val="en-US" w:eastAsia="zh-CN"/>
              </w:rPr>
              <w:t>无</w:t>
            </w:r>
          </w:p>
        </w:tc>
      </w:tr>
      <w:tr>
        <w:tblPrEx>
          <w:tblCellMar>
            <w:top w:w="0" w:type="dxa"/>
            <w:left w:w="108" w:type="dxa"/>
            <w:bottom w:w="0" w:type="dxa"/>
            <w:right w:w="108" w:type="dxa"/>
          </w:tblCellMar>
        </w:tblPrEx>
        <w:trPr>
          <w:trHeight w:val="370" w:hRule="atLeast"/>
          <w:jc w:val="center"/>
        </w:trPr>
        <w:tc>
          <w:tcPr>
            <w:tcW w:w="7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right="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质保期</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textAlignment w:val="auto"/>
              <w:rPr>
                <w:rFonts w:hint="eastAsia" w:ascii="宋体" w:hAnsi="宋体" w:cs="宋体"/>
                <w:color w:val="auto"/>
                <w:sz w:val="21"/>
                <w:szCs w:val="21"/>
                <w:highlight w:val="none"/>
                <w:lang w:val="en-US" w:eastAsia="zh-CN"/>
              </w:rPr>
            </w:pPr>
            <w:r>
              <w:rPr>
                <w:rFonts w:hint="eastAsia" w:ascii="宋体" w:hAnsi="宋体" w:cs="宋体"/>
                <w:color w:val="auto"/>
                <w:highlight w:val="none"/>
                <w:lang w:val="en-US" w:eastAsia="zh-CN"/>
              </w:rPr>
              <w:t>验收合格后一</w:t>
            </w:r>
            <w:r>
              <w:rPr>
                <w:rFonts w:hint="eastAsia" w:ascii="宋体" w:hAnsi="宋体" w:eastAsia="宋体" w:cs="宋体"/>
                <w:color w:val="auto"/>
                <w:highlight w:val="none"/>
                <w:lang w:val="en-US" w:eastAsia="zh-CN"/>
              </w:rPr>
              <w:t>年</w:t>
            </w:r>
          </w:p>
        </w:tc>
      </w:tr>
      <w:tr>
        <w:tblPrEx>
          <w:tblCellMar>
            <w:top w:w="0" w:type="dxa"/>
            <w:left w:w="108" w:type="dxa"/>
            <w:bottom w:w="0" w:type="dxa"/>
            <w:right w:w="108" w:type="dxa"/>
          </w:tblCellMar>
        </w:tblPrEx>
        <w:trPr>
          <w:trHeight w:val="370" w:hRule="atLeast"/>
          <w:jc w:val="center"/>
        </w:trPr>
        <w:tc>
          <w:tcPr>
            <w:tcW w:w="7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质量要求</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合格</w:t>
            </w:r>
          </w:p>
        </w:tc>
      </w:tr>
      <w:tr>
        <w:tblPrEx>
          <w:tblCellMar>
            <w:top w:w="0" w:type="dxa"/>
            <w:left w:w="108" w:type="dxa"/>
            <w:bottom w:w="0" w:type="dxa"/>
            <w:right w:w="108" w:type="dxa"/>
          </w:tblCellMar>
        </w:tblPrEx>
        <w:trPr>
          <w:trHeight w:val="370" w:hRule="atLeast"/>
          <w:jc w:val="center"/>
        </w:trPr>
        <w:tc>
          <w:tcPr>
            <w:tcW w:w="7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4"/>
                <w:highlight w:val="none"/>
                <w:lang w:val="zh-CN" w:eastAsia="zh-CN" w:bidi="zh-CN"/>
              </w:rPr>
              <w:t>合同方式</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highlight w:val="none"/>
                <w:lang w:eastAsia="zh-CN"/>
              </w:rPr>
              <w:t>固定综合单价</w:t>
            </w:r>
          </w:p>
        </w:tc>
      </w:tr>
      <w:tr>
        <w:tblPrEx>
          <w:tblCellMar>
            <w:top w:w="0" w:type="dxa"/>
            <w:left w:w="108" w:type="dxa"/>
            <w:bottom w:w="0" w:type="dxa"/>
            <w:right w:w="108" w:type="dxa"/>
          </w:tblCellMar>
        </w:tblPrEx>
        <w:trPr>
          <w:trHeight w:val="370" w:hRule="atLeast"/>
          <w:jc w:val="center"/>
        </w:trPr>
        <w:tc>
          <w:tcPr>
            <w:tcW w:w="7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jc w:val="center"/>
              <w:textAlignment w:val="auto"/>
              <w:rPr>
                <w:rFonts w:hint="eastAsia" w:cs="宋体"/>
                <w:color w:val="auto"/>
                <w:kern w:val="2"/>
                <w:sz w:val="21"/>
                <w:szCs w:val="24"/>
                <w:highlight w:val="none"/>
                <w:lang w:val="zh-CN" w:eastAsia="zh-CN" w:bidi="zh-CN"/>
              </w:rPr>
            </w:pPr>
            <w:r>
              <w:rPr>
                <w:rFonts w:hint="eastAsia" w:ascii="宋体" w:hAnsi="宋体" w:eastAsia="宋体" w:cs="宋体"/>
                <w:szCs w:val="21"/>
                <w:highlight w:val="none"/>
                <w:lang w:eastAsia="zh-CN"/>
              </w:rPr>
              <w:t>所属行业</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80" w:lineRule="exact"/>
              <w:ind w:left="0" w:leftChars="0" w:right="0" w:rightChars="0"/>
              <w:textAlignment w:val="auto"/>
              <w:rPr>
                <w:rFonts w:hint="eastAsia" w:ascii="宋体" w:hAnsi="宋体" w:eastAsia="宋体" w:cs="宋体"/>
                <w:highlight w:val="none"/>
                <w:lang w:eastAsia="zh-CN"/>
              </w:rPr>
            </w:pPr>
            <w:r>
              <w:rPr>
                <w:rFonts w:hint="eastAsia" w:ascii="宋体" w:hAnsi="宋体" w:eastAsia="宋体" w:cs="宋体"/>
                <w:kern w:val="2"/>
                <w:sz w:val="21"/>
                <w:szCs w:val="21"/>
                <w:highlight w:val="none"/>
                <w:lang w:val="en-US" w:eastAsia="zh-CN" w:bidi="ar-SA"/>
              </w:rPr>
              <w:t>建筑业</w:t>
            </w:r>
          </w:p>
        </w:tc>
      </w:tr>
      <w:tr>
        <w:tblPrEx>
          <w:tblCellMar>
            <w:top w:w="0" w:type="dxa"/>
            <w:left w:w="108" w:type="dxa"/>
            <w:bottom w:w="0" w:type="dxa"/>
            <w:right w:w="108" w:type="dxa"/>
          </w:tblCellMar>
        </w:tblPrEx>
        <w:trPr>
          <w:trHeight w:val="90" w:hRule="atLeast"/>
          <w:jc w:val="center"/>
        </w:trPr>
        <w:tc>
          <w:tcPr>
            <w:tcW w:w="7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18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425"/>
              </w:tabs>
              <w:spacing w:before="0" w:beforeAutospacing="0" w:after="0" w:afterAutospacing="0" w:line="360" w:lineRule="exact"/>
              <w:ind w:left="0" w:right="0"/>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Cs w:val="21"/>
                <w:highlight w:val="none"/>
                <w:lang w:eastAsia="zh-CN"/>
              </w:rPr>
              <w:t>特殊说明</w:t>
            </w:r>
          </w:p>
        </w:tc>
        <w:tc>
          <w:tcPr>
            <w:tcW w:w="6059"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因在全省推广政府采购电子招投标业务，供应商需自行办理政府采购CA数字证书并认真学习辽宁政府采购网电子文件制作指南，并按照采购文件和电子评审系统要求进行投标（响应）信息填报、电子文件编制、盖章或电子签章等工作。对于使用电子签章的，供应商应在辽宁政府采购网 CA 认证平台下载签章工具或向 CA 认证机构索要电子签章工具，对电子文件进行签章。电子文件中存在图片较多或内存较大等情况，需使用特殊工具对电子文件进行调整的，应在系统中认真核对调整后的电子文件，确保文件真实有效，清晰可辨，避免影响评审活动。如因文件上传清晰度问题，导致评审委员会无法认定，相关后果由投标人自行承担。</w:t>
            </w:r>
          </w:p>
          <w:p>
            <w:pPr>
              <w:pStyle w:val="19"/>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2.有任何技术问题可拨打网站客服电话进行咨询：</w:t>
            </w:r>
            <w:r>
              <w:rPr>
                <w:rFonts w:hint="eastAsia" w:ascii="宋体" w:hAnsi="宋体" w:eastAsia="宋体" w:cs="宋体"/>
                <w:b/>
                <w:bCs/>
                <w:color w:val="auto"/>
                <w:szCs w:val="21"/>
                <w:highlight w:val="none"/>
                <w:lang w:eastAsia="zh-CN"/>
              </w:rPr>
              <w:t>400-128-8588</w:t>
            </w:r>
            <w:r>
              <w:rPr>
                <w:rFonts w:hint="eastAsia" w:ascii="宋体" w:hAnsi="宋体" w:eastAsia="宋体" w:cs="宋体"/>
                <w:b/>
                <w:bCs/>
                <w:color w:val="auto"/>
                <w:szCs w:val="21"/>
                <w:highlight w:val="none"/>
              </w:rPr>
              <w:t>，CA 办理问题请咨询CA认证机构，代理机构不负责解答该部分问题。投标人因自身操作问题导致的一切不良后果由供应商自身负责。</w:t>
            </w:r>
          </w:p>
          <w:p>
            <w:pPr>
              <w:pStyle w:val="19"/>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3、开标时，投标人报价解密严格按照最新的电子招投标要求的程序执行，授权代表人可自行携带笔记本电脑、手机及数字认证证书等其他方式进行报价解密，报价解密时限为60分钟。</w:t>
            </w:r>
          </w:p>
          <w:p>
            <w:pPr>
              <w:pStyle w:val="19"/>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4.供应商除在电子评审系统上传投标文件外，应在递交投标文件截止时间前提交按采购文件规定的以介质形式（如：光盘、U 盘、移动硬盘、电子邮件等）存储的可加密备份文件，并承诺备份文件与电子评审系统中上传的投标文件内容、格式一致，备系统突发故障使用，并同时准备备份文件与电子评审系统中上传的投标文件内容、格式一致承诺函，并按照招标文件要求进行签字、盖章。供应商仅提交备份文件的，投标无效。</w:t>
            </w:r>
          </w:p>
          <w:p>
            <w:pPr>
              <w:pStyle w:val="19"/>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5.未启用备份投标文件的退还时间为：在评审结束后，工作人员通知供应商自行取回。</w:t>
            </w:r>
          </w:p>
          <w:p>
            <w:pPr>
              <w:pStyle w:val="19"/>
              <w:keepNext w:val="0"/>
              <w:keepLines w:val="0"/>
              <w:suppressLineNumbers w:val="0"/>
              <w:spacing w:before="0" w:beforeAutospacing="0" w:after="0" w:afterAutospacing="0" w:line="360" w:lineRule="auto"/>
              <w:ind w:left="0" w:righ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6.供应商在电子评审活动中出现以下情形的，应按如下规定进行处理：</w:t>
            </w:r>
          </w:p>
          <w:p>
            <w:pPr>
              <w:pStyle w:val="19"/>
              <w:keepNext w:val="0"/>
              <w:keepLines w:val="0"/>
              <w:suppressLineNumbers w:val="0"/>
              <w:spacing w:before="0" w:beforeAutospacing="0" w:after="0" w:afterAutospacing="0" w:line="360"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（1）因供应商原因造成投标文件未解密的；</w:t>
            </w:r>
          </w:p>
          <w:p>
            <w:pPr>
              <w:pStyle w:val="19"/>
              <w:keepNext w:val="0"/>
              <w:keepLines w:val="0"/>
              <w:suppressLineNumbers w:val="0"/>
              <w:spacing w:before="0" w:beforeAutospacing="0" w:after="0" w:afterAutospacing="0" w:line="360"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（2）因供应商自用设备原因造成的未在规定时间内解密、上传文件或投标报价等问题影响电子评审的；</w:t>
            </w:r>
          </w:p>
          <w:p>
            <w:pPr>
              <w:pStyle w:val="19"/>
              <w:keepNext w:val="0"/>
              <w:keepLines w:val="0"/>
              <w:suppressLineNumbers w:val="0"/>
              <w:spacing w:before="0" w:beforeAutospacing="0" w:after="0" w:afterAutospacing="0" w:line="360"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（3）因供应商原因未对文件校验造成信息缺失、文件内容或格式不正确以及备份文件不符合要求等问题影响评审的。</w:t>
            </w:r>
          </w:p>
          <w:p>
            <w:pPr>
              <w:pStyle w:val="19"/>
              <w:keepNext w:val="0"/>
              <w:keepLines w:val="0"/>
              <w:suppressLineNumbers w:val="0"/>
              <w:spacing w:before="0" w:beforeAutospacing="0" w:after="0" w:afterAutospacing="0" w:line="360" w:lineRule="auto"/>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    出现前款（1）、（2）情形的，视为放弃投标；出现前款（3）情形的，由供应商自行承担相应责任。</w:t>
            </w:r>
          </w:p>
          <w:p>
            <w:pPr>
              <w:pStyle w:val="19"/>
              <w:keepNext w:val="0"/>
              <w:keepLines w:val="0"/>
              <w:numPr>
                <w:ilvl w:val="0"/>
                <w:numId w:val="10"/>
              </w:numPr>
              <w:suppressLineNumbers w:val="0"/>
              <w:spacing w:before="0" w:beforeAutospacing="0" w:after="0" w:afterAutospacing="0" w:line="360" w:lineRule="auto"/>
              <w:ind w:left="0" w:righ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具体规定详见《关于印发全省政府采购全流程电子化实施方案的通知》（辽财采〔2020〕219 号）、《关于启用政府采购数字认证和电子招投标业务有关事宜的通知》（辽财采〔2020〕298 号）、《关于进一步优化辽宁省政府采购供应商入库程序的通知》（辽财采函〔2020〕198号）和《关于完善政府采购电子评审业务流程等有关事宜的通知》（辽财采函〔2021〕363号）</w:t>
            </w:r>
          </w:p>
          <w:p>
            <w:pPr>
              <w:pStyle w:val="19"/>
              <w:keepNext w:val="0"/>
              <w:keepLines w:val="0"/>
              <w:numPr>
                <w:ilvl w:val="0"/>
                <w:numId w:val="10"/>
              </w:numPr>
              <w:suppressLineNumbers w:val="0"/>
              <w:spacing w:before="0" w:beforeAutospacing="0" w:after="0" w:afterAutospacing="0" w:line="360" w:lineRule="auto"/>
              <w:ind w:left="0" w:righ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请随时关注辽宁政府采购网和全国公共资源交易平台（辽宁省·锦州市）发布的变更公告，如因未关注变更公告发生的任何问题，由供应商自行负责。</w:t>
            </w:r>
          </w:p>
          <w:p>
            <w:pPr>
              <w:pStyle w:val="19"/>
              <w:keepNext w:val="0"/>
              <w:keepLines w:val="0"/>
              <w:numPr>
                <w:ilvl w:val="0"/>
                <w:numId w:val="10"/>
              </w:numPr>
              <w:suppressLineNumbers w:val="0"/>
              <w:spacing w:before="0" w:beforeAutospacing="0" w:after="0" w:afterAutospacing="0" w:line="360" w:lineRule="auto"/>
              <w:ind w:left="0" w:righ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鉴于目前辽宁政府采购网及全国公共资源交易平台（辽宁省·锦州市）相关数据尚未实现互联共享，供应商应同时在以上2个网站下载招标文件。</w:t>
            </w:r>
          </w:p>
          <w:p>
            <w:pPr>
              <w:pStyle w:val="19"/>
              <w:keepNext w:val="0"/>
              <w:keepLines w:val="0"/>
              <w:numPr>
                <w:ilvl w:val="0"/>
                <w:numId w:val="10"/>
              </w:numPr>
              <w:suppressLineNumbers w:val="0"/>
              <w:spacing w:before="0" w:beforeAutospacing="0" w:after="0" w:afterAutospacing="0" w:line="360" w:lineRule="auto"/>
              <w:ind w:left="0" w:right="0"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疫情期间，供应商须严格按照锦州市最新疫情管控要求执行。</w:t>
            </w:r>
            <w:r>
              <w:rPr>
                <w:rFonts w:hint="eastAsia" w:ascii="宋体" w:hAnsi="宋体" w:eastAsia="宋体" w:cs="宋体"/>
                <w:b/>
                <w:bCs/>
                <w:color w:val="auto"/>
                <w:szCs w:val="21"/>
                <w:highlight w:val="none"/>
                <w:lang w:eastAsia="zh-CN"/>
              </w:rPr>
              <w:t>请供应商提前做好准备工作。</w:t>
            </w:r>
          </w:p>
          <w:p>
            <w:pPr>
              <w:keepNext w:val="0"/>
              <w:keepLines w:val="0"/>
              <w:suppressLineNumbers w:val="0"/>
              <w:spacing w:before="0" w:beforeAutospacing="0" w:after="0" w:afterAutospacing="0" w:line="420" w:lineRule="exact"/>
              <w:ind w:left="0" w:right="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Cs w:val="21"/>
                <w:highlight w:val="none"/>
              </w:rPr>
              <w:t>本项目投标人解密投标报价时间为60分钟，如开标截止时间过后60分钟之内由供应商原因导致仍未解密成功，视为无效投标。</w:t>
            </w:r>
          </w:p>
        </w:tc>
      </w:tr>
      <w:tr>
        <w:tblPrEx>
          <w:tblCellMar>
            <w:top w:w="0" w:type="dxa"/>
            <w:left w:w="108" w:type="dxa"/>
            <w:bottom w:w="0" w:type="dxa"/>
            <w:right w:w="108" w:type="dxa"/>
          </w:tblCellMar>
        </w:tblPrEx>
        <w:trPr>
          <w:trHeight w:val="2126" w:hRule="atLeast"/>
          <w:jc w:val="center"/>
        </w:trPr>
        <w:tc>
          <w:tcPr>
            <w:tcW w:w="7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p>
        </w:tc>
        <w:tc>
          <w:tcPr>
            <w:tcW w:w="792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11"/>
              </w:numPr>
              <w:suppressLineNumbers w:val="0"/>
              <w:kinsoku/>
              <w:wordWrap/>
              <w:overflowPunct/>
              <w:topLinePunct w:val="0"/>
              <w:autoSpaceDE/>
              <w:autoSpaceDN/>
              <w:bidi w:val="0"/>
              <w:spacing w:before="0" w:beforeAutospacing="0" w:after="0" w:afterAutospacing="0" w:line="360" w:lineRule="exact"/>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本次招标资格审查方式为资格后审。</w:t>
            </w:r>
          </w:p>
          <w:p>
            <w:pPr>
              <w:keepNext w:val="0"/>
              <w:keepLines w:val="0"/>
              <w:pageBreakBefore w:val="0"/>
              <w:numPr>
                <w:ilvl w:val="0"/>
                <w:numId w:val="11"/>
              </w:numPr>
              <w:suppressLineNumbers w:val="0"/>
              <w:kinsoku/>
              <w:wordWrap/>
              <w:overflowPunct/>
              <w:topLinePunct w:val="0"/>
              <w:autoSpaceDE/>
              <w:autoSpaceDN/>
              <w:bidi w:val="0"/>
              <w:spacing w:before="0" w:beforeAutospacing="0" w:after="0" w:afterAutospacing="0" w:line="360" w:lineRule="exact"/>
              <w:ind w:left="0" w:right="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参加开标会议法定代表人</w:t>
            </w:r>
            <w:r>
              <w:rPr>
                <w:rFonts w:hint="eastAsia" w:ascii="宋体" w:hAnsi="宋体" w:eastAsia="宋体" w:cs="宋体"/>
                <w:b/>
                <w:bCs/>
                <w:color w:val="auto"/>
                <w:szCs w:val="21"/>
                <w:highlight w:val="none"/>
                <w:lang w:val="en-US" w:eastAsia="zh-CN"/>
              </w:rPr>
              <w:t>（或非法人组织负责人）</w:t>
            </w:r>
            <w:r>
              <w:rPr>
                <w:rFonts w:hint="eastAsia" w:ascii="宋体" w:hAnsi="宋体" w:eastAsia="宋体" w:cs="宋体"/>
                <w:b/>
                <w:bCs/>
                <w:color w:val="auto"/>
                <w:szCs w:val="21"/>
                <w:highlight w:val="none"/>
              </w:rPr>
              <w:t>或委托代理人应携带本人身份证、</w:t>
            </w:r>
            <w:r>
              <w:rPr>
                <w:rFonts w:hint="eastAsia" w:ascii="宋体" w:hAnsi="宋体" w:cs="宋体"/>
                <w:b/>
                <w:bCs/>
                <w:color w:val="auto"/>
                <w:szCs w:val="21"/>
                <w:highlight w:val="none"/>
                <w:lang w:val="en-US" w:eastAsia="zh-CN"/>
              </w:rPr>
              <w:t>委托代理人的</w:t>
            </w:r>
            <w:r>
              <w:rPr>
                <w:rFonts w:hint="eastAsia" w:ascii="宋体" w:hAnsi="宋体" w:eastAsia="宋体" w:cs="宋体"/>
                <w:b/>
                <w:bCs/>
                <w:color w:val="auto"/>
                <w:szCs w:val="21"/>
                <w:highlight w:val="none"/>
              </w:rPr>
              <w:t>授权委托书</w:t>
            </w:r>
            <w:r>
              <w:rPr>
                <w:rFonts w:hint="eastAsia" w:ascii="宋体" w:hAnsi="宋体" w:cs="宋体"/>
                <w:b/>
                <w:bCs/>
                <w:color w:val="auto"/>
                <w:szCs w:val="21"/>
                <w:highlight w:val="none"/>
                <w:lang w:eastAsia="zh-CN"/>
              </w:rPr>
              <w:t>、</w:t>
            </w:r>
            <w:r>
              <w:rPr>
                <w:rFonts w:hint="eastAsia" w:ascii="宋体" w:hAnsi="宋体" w:eastAsia="宋体" w:cs="宋体"/>
                <w:b/>
                <w:bCs/>
                <w:color w:val="auto"/>
                <w:szCs w:val="21"/>
                <w:highlight w:val="none"/>
              </w:rPr>
              <w:t>开标会议上将检验授权委托书、授权人身份证原件（授权书与到场人员不符将拒收</w:t>
            </w:r>
            <w:r>
              <w:rPr>
                <w:rFonts w:hint="eastAsia" w:ascii="宋体" w:hAnsi="宋体" w:cs="宋体"/>
                <w:b/>
                <w:bCs/>
                <w:color w:val="auto"/>
                <w:szCs w:val="21"/>
                <w:highlight w:val="none"/>
                <w:lang w:eastAsia="zh-CN"/>
              </w:rPr>
              <w:t>投标</w:t>
            </w:r>
            <w:r>
              <w:rPr>
                <w:rFonts w:hint="eastAsia" w:ascii="宋体" w:hAnsi="宋体" w:eastAsia="宋体" w:cs="宋体"/>
                <w:b/>
                <w:bCs/>
                <w:color w:val="auto"/>
                <w:szCs w:val="21"/>
                <w:highlight w:val="none"/>
                <w:lang w:eastAsia="zh-CN"/>
              </w:rPr>
              <w:t>文件</w:t>
            </w:r>
            <w:r>
              <w:rPr>
                <w:rFonts w:hint="eastAsia" w:ascii="宋体" w:hAnsi="宋体" w:eastAsia="宋体" w:cs="宋体"/>
                <w:b/>
                <w:bCs/>
                <w:color w:val="auto"/>
                <w:szCs w:val="21"/>
                <w:highlight w:val="none"/>
              </w:rPr>
              <w:t>）。</w:t>
            </w:r>
          </w:p>
          <w:p>
            <w:pPr>
              <w:pStyle w:val="134"/>
              <w:keepNext w:val="0"/>
              <w:keepLines w:val="0"/>
              <w:pageBreakBefore w:val="0"/>
              <w:numPr>
                <w:ilvl w:val="0"/>
                <w:numId w:val="11"/>
              </w:numPr>
              <w:suppressLineNumbers w:val="0"/>
              <w:kinsoku/>
              <w:wordWrap/>
              <w:overflowPunct/>
              <w:topLinePunct w:val="0"/>
              <w:autoSpaceDE/>
              <w:autoSpaceDN/>
              <w:bidi w:val="0"/>
              <w:adjustRightInd/>
              <w:snapToGrid/>
              <w:spacing w:before="0" w:beforeAutospacing="0" w:after="0" w:afterAutospacing="0" w:line="380" w:lineRule="exact"/>
              <w:ind w:left="0" w:leftChars="0" w:right="68" w:rightChars="0" w:firstLine="0" w:firstLineChars="0"/>
              <w:jc w:val="both"/>
              <w:textAlignment w:val="auto"/>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未尽事宜按国家相关法律、法规执行。</w:t>
            </w:r>
          </w:p>
          <w:p>
            <w:pPr>
              <w:pStyle w:val="134"/>
              <w:keepNext w:val="0"/>
              <w:keepLines w:val="0"/>
              <w:pageBreakBefore w:val="0"/>
              <w:numPr>
                <w:ilvl w:val="0"/>
                <w:numId w:val="11"/>
              </w:numPr>
              <w:suppressLineNumbers w:val="0"/>
              <w:kinsoku/>
              <w:wordWrap/>
              <w:overflowPunct/>
              <w:topLinePunct w:val="0"/>
              <w:autoSpaceDE/>
              <w:autoSpaceDN/>
              <w:bidi w:val="0"/>
              <w:adjustRightInd/>
              <w:snapToGrid/>
              <w:spacing w:before="0" w:beforeAutospacing="0" w:after="0" w:afterAutospacing="0" w:line="380" w:lineRule="exact"/>
              <w:ind w:left="0" w:leftChars="0" w:right="68" w:rightChars="0" w:firstLine="0" w:firstLineChars="0"/>
              <w:jc w:val="both"/>
              <w:textAlignment w:val="auto"/>
              <w:rPr>
                <w:rFonts w:hint="eastAsia" w:ascii="宋体" w:hAnsi="宋体" w:eastAsia="宋体" w:cs="宋体"/>
                <w:b/>
                <w:bCs w:val="0"/>
                <w:color w:val="auto"/>
                <w:szCs w:val="21"/>
                <w:highlight w:val="none"/>
                <w:lang w:val="zh-CN" w:eastAsia="zh-CN"/>
              </w:rPr>
            </w:pPr>
            <w:r>
              <w:rPr>
                <w:rFonts w:hint="eastAsia" w:ascii="宋体" w:hAnsi="宋体" w:eastAsia="宋体" w:cs="宋体"/>
                <w:b/>
                <w:bCs w:val="0"/>
                <w:color w:val="auto"/>
                <w:szCs w:val="21"/>
                <w:highlight w:val="none"/>
                <w:lang w:eastAsia="zh-CN"/>
              </w:rPr>
              <w:t>因疫情原因无法现场参加开标会议</w:t>
            </w:r>
            <w:r>
              <w:rPr>
                <w:rFonts w:hint="eastAsia" w:cs="宋体"/>
                <w:b/>
                <w:bCs w:val="0"/>
                <w:color w:val="auto"/>
                <w:szCs w:val="21"/>
                <w:highlight w:val="none"/>
                <w:lang w:eastAsia="zh-CN"/>
              </w:rPr>
              <w:t>，</w:t>
            </w:r>
            <w:r>
              <w:rPr>
                <w:rFonts w:hint="eastAsia" w:ascii="宋体" w:hAnsi="宋体" w:eastAsia="宋体" w:cs="宋体"/>
                <w:b/>
                <w:bCs w:val="0"/>
                <w:color w:val="auto"/>
                <w:szCs w:val="21"/>
                <w:highlight w:val="none"/>
                <w:lang w:eastAsia="zh-CN"/>
              </w:rPr>
              <w:t>可</w:t>
            </w:r>
            <w:r>
              <w:rPr>
                <w:rFonts w:hint="eastAsia" w:cs="宋体"/>
                <w:b/>
                <w:bCs w:val="0"/>
                <w:color w:val="auto"/>
                <w:szCs w:val="21"/>
                <w:highlight w:val="none"/>
                <w:lang w:val="en-US" w:eastAsia="zh-CN"/>
              </w:rPr>
              <w:t>用</w:t>
            </w:r>
            <w:r>
              <w:rPr>
                <w:rFonts w:hint="eastAsia" w:ascii="宋体" w:hAnsi="宋体" w:eastAsia="宋体" w:cs="宋体"/>
                <w:b/>
                <w:bCs w:val="0"/>
                <w:color w:val="auto"/>
                <w:szCs w:val="21"/>
                <w:highlight w:val="none"/>
                <w:lang w:eastAsia="zh-CN"/>
              </w:rPr>
              <w:t>腾讯会议</w:t>
            </w:r>
            <w:r>
              <w:rPr>
                <w:rFonts w:hint="eastAsia" w:cs="宋体"/>
                <w:b/>
                <w:bCs w:val="0"/>
                <w:color w:val="auto"/>
                <w:szCs w:val="21"/>
                <w:highlight w:val="none"/>
                <w:lang w:eastAsia="zh-CN"/>
              </w:rPr>
              <w:t>参加</w:t>
            </w:r>
            <w:r>
              <w:rPr>
                <w:rFonts w:hint="eastAsia" w:ascii="宋体" w:hAnsi="宋体" w:eastAsia="宋体" w:cs="宋体"/>
                <w:b/>
                <w:bCs w:val="0"/>
                <w:color w:val="auto"/>
                <w:szCs w:val="21"/>
                <w:highlight w:val="none"/>
                <w:lang w:eastAsia="zh-CN"/>
              </w:rPr>
              <w:t>开标，备份文件加密压缩后发送邮箱，腾讯会议核实授权委托书</w:t>
            </w:r>
            <w:r>
              <w:rPr>
                <w:rFonts w:hint="eastAsia" w:cs="宋体"/>
                <w:b/>
                <w:bCs w:val="0"/>
                <w:color w:val="auto"/>
                <w:szCs w:val="21"/>
                <w:highlight w:val="none"/>
                <w:lang w:val="en-US" w:eastAsia="zh-CN"/>
              </w:rPr>
              <w:t>和授权人</w:t>
            </w:r>
            <w:r>
              <w:rPr>
                <w:rFonts w:hint="eastAsia" w:ascii="宋体" w:hAnsi="宋体" w:eastAsia="宋体" w:cs="宋体"/>
                <w:b/>
                <w:bCs w:val="0"/>
                <w:color w:val="auto"/>
                <w:szCs w:val="21"/>
                <w:highlight w:val="none"/>
                <w:lang w:eastAsia="zh-CN"/>
              </w:rPr>
              <w:t xml:space="preserve">身份证 </w:t>
            </w:r>
            <w:r>
              <w:rPr>
                <w:rFonts w:hint="eastAsia" w:cs="宋体"/>
                <w:b/>
                <w:bCs w:val="0"/>
                <w:color w:val="auto"/>
                <w:szCs w:val="21"/>
                <w:highlight w:val="none"/>
                <w:lang w:eastAsia="zh-CN"/>
              </w:rPr>
              <w:t>，</w:t>
            </w:r>
            <w:r>
              <w:rPr>
                <w:rFonts w:hint="eastAsia" w:cs="宋体"/>
                <w:b/>
                <w:bCs w:val="0"/>
                <w:color w:val="auto"/>
                <w:szCs w:val="21"/>
                <w:highlight w:val="none"/>
                <w:lang w:val="en-US" w:eastAsia="zh-CN"/>
              </w:rPr>
              <w:t>如可现场开标请提供48小时核算检测证明</w:t>
            </w:r>
          </w:p>
        </w:tc>
      </w:tr>
    </w:tbl>
    <w:p>
      <w:pPr>
        <w:rPr>
          <w:rFonts w:hint="eastAsia" w:ascii="宋体" w:hAnsi="宋体" w:eastAsia="宋体" w:cs="宋体"/>
          <w:color w:val="auto"/>
          <w:highlight w:val="none"/>
        </w:rPr>
      </w:pPr>
      <w:r>
        <w:rPr>
          <w:rFonts w:hint="eastAsia" w:ascii="宋体" w:hAnsi="宋体" w:eastAsia="宋体" w:cs="宋体"/>
          <w:color w:val="auto"/>
          <w:highlight w:val="none"/>
        </w:rPr>
        <w:t>注：表格中“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”项为被选中项。</w:t>
      </w:r>
    </w:p>
    <w:p>
      <w:pPr>
        <w:rPr>
          <w:rFonts w:hint="eastAsia" w:ascii="宋体" w:hAnsi="宋体" w:eastAsia="宋体" w:cs="宋体"/>
          <w:color w:val="auto"/>
          <w:highlight w:val="none"/>
        </w:rPr>
      </w:pPr>
      <w:bookmarkStart w:id="16" w:name="_Toc4485619"/>
      <w:bookmarkStart w:id="17" w:name="_Toc533340140"/>
    </w:p>
    <w:p>
      <w:pPr>
        <w:pStyle w:val="76"/>
        <w:ind w:left="0" w:leftChars="0" w:firstLine="0" w:firstLineChars="0"/>
        <w:rPr>
          <w:rFonts w:hint="eastAsia" w:ascii="宋体" w:hAnsi="宋体" w:eastAsia="宋体" w:cs="宋体"/>
          <w:color w:val="auto"/>
          <w:highlight w:val="none"/>
        </w:rPr>
      </w:pPr>
    </w:p>
    <w:p>
      <w:pPr>
        <w:pStyle w:val="7"/>
        <w:adjustRightInd w:val="0"/>
        <w:snapToGrid w:val="0"/>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二 总则</w:t>
      </w:r>
      <w:bookmarkEnd w:id="16"/>
      <w:bookmarkEnd w:id="17"/>
    </w:p>
    <w:p>
      <w:pPr>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1.采购人、采购代理机构及供应商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1.1采购人：是指依法进行政府采购的国家机关、事业单位、团体组织。本项目采购人见供应商须知表1.1条。</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1.2采购代理机构：是指集中采购机构或从事采购代理业务的社会中介机构，本项目的采购代理机构见供应商须知表1.2条。</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★1.3供应商：是指向采购人提供货物、工程或者服务的法人、非法人组织或者自然人。本项目的供应商及其响应货物须满足以下条件：</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1.3.1在中华人民共和国境内注册，能够独立承担民事责任，有生产或供应能力的本国供应商。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1.3.2符合《中华人民共和国政府采购法》第二十二条关于供应商条件的规定，遵守本项目采购人本级和上级财政部门关于政府采购的有关规定。</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1.3.3以采购代理机构认可的方式获得了本项目的采购文件。</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1.3.4符合供应商须知表1.3.4条中规定的其他要求。</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1.3.5若供应商须知表1.3.5条中写明专门面向中小企业采购的，如供应商为非中小企业且所响应产品为非中小企业产品，其响应文件将被认定为</w:t>
      </w:r>
      <w:r>
        <w:rPr>
          <w:rFonts w:hint="eastAsia" w:ascii="宋体" w:hAnsi="宋体" w:eastAsia="宋体" w:cs="宋体"/>
          <w:b/>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若供应商须知表1.3.6条中写明采购的产品为财政部、发展改革委、生态环境部等部门发布的品目清单中属于实施政府强制采购品目清单范围的节能产品，如供应商所响应产品不具备依据国家确定的认证机构出具的、处于有效期之内的节能产品认证证书，其响应将被认定为</w:t>
      </w:r>
      <w:r>
        <w:rPr>
          <w:rFonts w:hint="eastAsia" w:ascii="宋体" w:hAnsi="宋体" w:eastAsia="宋体" w:cs="宋体"/>
          <w:b/>
          <w:bCs/>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★1.4如供应商须知表1.4条中允许联合体参加采购活动的，对联合体规定如下：</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1.4.1两个以上供应商可以组成一个联合体，以一个供应商的身份参加采购活动。</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1.4.2联合体各方均应符合《中华人民共和国政府采购法》第二十二条规定的条件。</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1.4.3采购人根据采购项目对供应商的特殊要求，联合体中至少应当有一方符合相关规定。</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1.4.4联合体各方应签订共同参加采购活动协议，明确约定联合体各方承担的工作和相应的责任。</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1.4.6联合体中有同类资质的供应商按照联合体分工承担相同工作的，按照较低的资质等级确定联合体的资质等级。</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1.4.7以联合体形式参加政府采购活动的，联合体各方不得再单独参加或者与其他供应商另外组成联合体参加本项目采购活动，否则相关响应文件将被认定为</w:t>
      </w:r>
      <w:r>
        <w:rPr>
          <w:rFonts w:hint="eastAsia" w:ascii="宋体" w:hAnsi="宋体" w:eastAsia="宋体" w:cs="宋体"/>
          <w:b/>
          <w:bCs/>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（1）两个以上的自然人、法人或者其他组织可以组成一个联合体，以一个供应商的身份共同参加政府采购活动。</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（2）联合体成交的，联合体各方应共同与采购人签订采购合同，就采购合同约定的事项对采购人承担连带责任。</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1.4.8对联合体参加采购活动的其他资格要求见供应商须知表1.4.8条。</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★1.5单位负责人为同一人或者存在直接控股、管理关系的不同供应商，其相关响应将被认定为</w:t>
      </w:r>
      <w:r>
        <w:rPr>
          <w:rFonts w:hint="eastAsia" w:ascii="宋体" w:hAnsi="宋体" w:eastAsia="宋体" w:cs="宋体"/>
          <w:b/>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★1.6为本项目提供过整体设计、规范编制或者项目管理、监理、检测等服务的供应商，不得再参加本项目上述服务以外的其他采购活动，否则其响应文件将被认定为</w:t>
      </w:r>
      <w:r>
        <w:rPr>
          <w:rFonts w:hint="eastAsia" w:ascii="宋体" w:hAnsi="宋体" w:eastAsia="宋体" w:cs="宋体"/>
          <w:b/>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★1.7供应商在磋商过程中不得向采购人提供、给予任何有价值的物品，影响其正常决策行为。一经发现，其将被认定为</w:t>
      </w:r>
      <w:r>
        <w:rPr>
          <w:rFonts w:hint="eastAsia" w:ascii="宋体" w:hAnsi="宋体" w:eastAsia="宋体" w:cs="宋体"/>
          <w:b/>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2.资金来源</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2.1本项目的采购人已获得足以支付本次磋商后所签订的合同项下的资金（包括财政性资金和本项目采购中无法与财政性资金分割的非财政性资金）。</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★2.2项目预算金额和分项或分包最高限价见供应商须知表2.2条。</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★2.3供应商报价超过采购文件规定的预算金额或者分项、分包最高限价的，其响应文件将被认定为</w:t>
      </w:r>
      <w:r>
        <w:rPr>
          <w:rFonts w:hint="eastAsia" w:ascii="宋体" w:hAnsi="宋体" w:eastAsia="宋体" w:cs="宋体"/>
          <w:b/>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b/>
          <w:color w:val="auto"/>
          <w:szCs w:val="21"/>
          <w:highlight w:val="none"/>
        </w:rPr>
      </w:pPr>
      <w:bookmarkStart w:id="18" w:name="_Toc266951048"/>
      <w:r>
        <w:rPr>
          <w:rFonts w:hint="eastAsia" w:ascii="宋体" w:hAnsi="宋体" w:eastAsia="宋体" w:cs="宋体"/>
          <w:b/>
          <w:color w:val="auto"/>
          <w:szCs w:val="21"/>
          <w:highlight w:val="none"/>
        </w:rPr>
        <w:t>3.语言文字</w:t>
      </w:r>
      <w:bookmarkEnd w:id="18"/>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除专用术语外，与磋商有关的语言均使用中文。必要时专用术语应附有中文注释。对不同文字文本响应文件的解释发生异议的，以中文文本为准。</w:t>
      </w:r>
    </w:p>
    <w:p>
      <w:pPr>
        <w:adjustRightInd w:val="0"/>
        <w:snapToGrid w:val="0"/>
        <w:spacing w:line="360" w:lineRule="auto"/>
        <w:rPr>
          <w:rFonts w:hint="eastAsia" w:ascii="宋体" w:hAnsi="宋体" w:eastAsia="宋体" w:cs="宋体"/>
          <w:b/>
          <w:color w:val="auto"/>
          <w:szCs w:val="21"/>
          <w:highlight w:val="none"/>
        </w:rPr>
      </w:pPr>
      <w:bookmarkStart w:id="19" w:name="_1.8_计量单位"/>
      <w:bookmarkEnd w:id="19"/>
      <w:bookmarkStart w:id="20" w:name="_Toc266951049"/>
      <w:r>
        <w:rPr>
          <w:rFonts w:hint="eastAsia" w:ascii="宋体" w:hAnsi="宋体" w:eastAsia="宋体" w:cs="宋体"/>
          <w:b/>
          <w:color w:val="auto"/>
          <w:szCs w:val="21"/>
          <w:highlight w:val="none"/>
        </w:rPr>
        <w:t>★4.计量单位</w:t>
      </w:r>
      <w:bookmarkEnd w:id="20"/>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除供应商须知表4条中有特殊要求外，响应文件中所使用的计量单位，应采用中华人民共和国法定计量单位。</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★5.磋商费用</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不论磋商的结果如何，供应商应承担所有与本次政府采购活动有关的费用。</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★6.现场考察、磋商前答疑会</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"_踏勘现场"</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供应商须知表</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6.1条规定组织现场考察或磋商前答疑会的，采购人按</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\l "_踏勘现场"</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供应商须知表</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6.1条规定的时间、地点组织供应商现场考察或磋商前答疑会，或者在领取采购文件期限截止后以书面形式通知所有获取采购文件的潜在供应商。</w:t>
      </w:r>
    </w:p>
    <w:p>
      <w:pPr>
        <w:adjustRightInd w:val="0"/>
        <w:snapToGrid w:val="0"/>
        <w:spacing w:line="360" w:lineRule="auto"/>
        <w:rPr>
          <w:rFonts w:hint="eastAsia" w:ascii="宋体" w:hAnsi="宋体" w:eastAsia="宋体" w:cs="宋体"/>
          <w:color w:val="auto"/>
          <w:szCs w:val="21"/>
          <w:highlight w:val="none"/>
        </w:rPr>
      </w:pPr>
      <w:bookmarkStart w:id="21" w:name="_1.10_投标预备会"/>
      <w:bookmarkEnd w:id="21"/>
      <w:r>
        <w:rPr>
          <w:rFonts w:hint="eastAsia" w:ascii="宋体" w:hAnsi="宋体" w:eastAsia="宋体" w:cs="宋体"/>
          <w:color w:val="auto"/>
          <w:szCs w:val="21"/>
          <w:highlight w:val="none"/>
        </w:rPr>
        <w:t>6.2由于未参加现场考察或磋商前答疑而导致对项目实际情况不了解，影响技术文件编制、</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HYPERLINK "https://www.baidu.com/s?wd=%E6%8A%95%E6%A0%87%E6%8A%A5%E4%BB%B7&amp;tn=44039180_cpr&amp;fenlei=mv6quAkxTZn0IZRqIHckPjm4nH00T1dWuyfdP1u9uyPBrjKhmvDv0ZwV5Hcvrjm3rH6sPfKWUMw85HfYnjn4nH6sgvPsT6KdThsqpZwYTjCEQLGCpyw9Uz4Bmy-bIi4WUvYETgN-TLwGUv3EPj63P1RkPH6Y" \t "_blank"</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响应报价</w:t>
      </w:r>
      <w:r>
        <w:rPr>
          <w:rFonts w:hint="eastAsia" w:ascii="宋体" w:hAnsi="宋体" w:eastAsia="宋体" w:cs="宋体"/>
          <w:color w:val="auto"/>
          <w:highlight w:val="none"/>
        </w:rPr>
        <w:fldChar w:fldCharType="end"/>
      </w:r>
      <w:r>
        <w:rPr>
          <w:rFonts w:hint="eastAsia" w:ascii="宋体" w:hAnsi="宋体" w:eastAsia="宋体" w:cs="宋体"/>
          <w:color w:val="auto"/>
          <w:szCs w:val="21"/>
          <w:highlight w:val="none"/>
        </w:rPr>
        <w:t>准确性、综合因素响应不全面等问题的，由供应商自行承担相应后果。</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6.3现场考察及磋商前答疑会所发生的费用及一切责任由供应商自行承担。</w:t>
      </w:r>
    </w:p>
    <w:p>
      <w:pPr>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7.适用法律</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pPr>
        <w:bidi w:val="0"/>
        <w:rPr>
          <w:rFonts w:hint="eastAsia"/>
          <w:highlight w:val="none"/>
        </w:rPr>
      </w:pPr>
      <w:bookmarkStart w:id="22" w:name="_Toc533340141"/>
      <w:bookmarkStart w:id="23" w:name="_Toc4485620"/>
    </w:p>
    <w:p>
      <w:pPr>
        <w:pStyle w:val="3"/>
        <w:rPr>
          <w:rFonts w:hint="eastAsia"/>
          <w:highlight w:val="none"/>
        </w:rPr>
      </w:pPr>
    </w:p>
    <w:p>
      <w:pPr>
        <w:pStyle w:val="26"/>
        <w:rPr>
          <w:rFonts w:hint="eastAsia"/>
          <w:highlight w:val="none"/>
        </w:rPr>
      </w:pPr>
    </w:p>
    <w:p>
      <w:pPr>
        <w:rPr>
          <w:rFonts w:hint="eastAsia"/>
          <w:highlight w:val="none"/>
        </w:rPr>
      </w:pPr>
    </w:p>
    <w:p>
      <w:pPr>
        <w:pStyle w:val="3"/>
        <w:rPr>
          <w:rFonts w:hint="eastAsia"/>
          <w:highlight w:val="none"/>
        </w:rPr>
      </w:pPr>
    </w:p>
    <w:p>
      <w:pPr>
        <w:pStyle w:val="26"/>
        <w:rPr>
          <w:rFonts w:hint="eastAsia"/>
          <w:highlight w:val="none"/>
        </w:rPr>
      </w:pPr>
    </w:p>
    <w:p>
      <w:pPr>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54"/>
        <w:rPr>
          <w:rFonts w:hint="eastAsia"/>
          <w:highlight w:val="none"/>
        </w:rPr>
      </w:pPr>
    </w:p>
    <w:p>
      <w:pPr>
        <w:pStyle w:val="3"/>
        <w:rPr>
          <w:rFonts w:hint="eastAsia"/>
          <w:highlight w:val="none"/>
        </w:rPr>
      </w:pPr>
    </w:p>
    <w:p>
      <w:pPr>
        <w:bidi w:val="0"/>
        <w:rPr>
          <w:rFonts w:hint="eastAsia"/>
          <w:highlight w:val="none"/>
        </w:rPr>
      </w:pPr>
    </w:p>
    <w:p>
      <w:pPr>
        <w:bidi w:val="0"/>
        <w:rPr>
          <w:rFonts w:hint="eastAsia"/>
          <w:highlight w:val="none"/>
        </w:rPr>
      </w:pPr>
    </w:p>
    <w:p>
      <w:pPr>
        <w:pStyle w:val="3"/>
        <w:rPr>
          <w:rFonts w:hint="eastAsia"/>
          <w:highlight w:val="none"/>
        </w:rPr>
      </w:pPr>
    </w:p>
    <w:p>
      <w:pPr>
        <w:pStyle w:val="7"/>
        <w:adjustRightInd w:val="0"/>
        <w:snapToGrid w:val="0"/>
        <w:spacing w:before="312" w:beforeLines="100" w:after="156" w:after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 xml:space="preserve">三 </w:t>
      </w:r>
      <w:bookmarkEnd w:id="22"/>
      <w:bookmarkEnd w:id="23"/>
      <w:r>
        <w:rPr>
          <w:rFonts w:hint="eastAsia" w:ascii="宋体" w:hAnsi="宋体" w:eastAsia="宋体" w:cs="宋体"/>
          <w:color w:val="auto"/>
          <w:highlight w:val="none"/>
        </w:rPr>
        <w:t>采购文件</w:t>
      </w:r>
    </w:p>
    <w:p>
      <w:pPr>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8.采购文件构成</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8.1采购文件共六章，内容如下:</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采购公告</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供应商须知</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响应文件内容及格式</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第三章 技术要求及工程量清单</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磋商内容、磋商过程中可能实质性变动的内容</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评审办法</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政府采购合同条款及格式</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★8.2供应商应认真阅读采购文件所有的事项、格式、条款等。如供应商没有按照采购文件要求提交资料，或者响应文件没有对采购文件做出实质性响应，可能导致其响应文件被认定为</w:t>
      </w:r>
      <w:r>
        <w:rPr>
          <w:rFonts w:hint="eastAsia" w:ascii="宋体" w:hAnsi="宋体" w:eastAsia="宋体" w:cs="宋体"/>
          <w:b/>
          <w:bCs/>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9.采购文件的澄清与修改</w:t>
      </w:r>
    </w:p>
    <w:p>
      <w:pPr>
        <w:adjustRightInd w:val="0"/>
        <w:snapToGrid w:val="0"/>
        <w:spacing w:line="360" w:lineRule="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rPr>
        <w:t>9.1</w:t>
      </w:r>
      <w:r>
        <w:rPr>
          <w:rFonts w:hint="eastAsia" w:ascii="宋体" w:hAnsi="宋体" w:cs="宋体"/>
          <w:color w:val="auto"/>
          <w:szCs w:val="21"/>
          <w:highlight w:val="none"/>
          <w:lang w:val="en-US" w:eastAsia="zh-CN"/>
        </w:rPr>
        <w:t>供应商提出疑问截止时间：见供应商须知表。</w:t>
      </w:r>
      <w:r>
        <w:rPr>
          <w:rFonts w:hint="eastAsia" w:ascii="宋体" w:hAnsi="宋体" w:eastAsia="宋体" w:cs="宋体"/>
          <w:color w:val="auto"/>
          <w:szCs w:val="21"/>
          <w:highlight w:val="none"/>
          <w:shd w:val="clear" w:color="auto" w:fill="FFFFFF"/>
        </w:rPr>
        <w:t>采购人、采购代理机构可以对已发出的采购文件进行必要的澄清或者修改。澄清或者修改的内容可能影响响应文件编制的，应当在递交首次响应文件截止时间至少</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日前，</w:t>
      </w:r>
      <w:r>
        <w:rPr>
          <w:rFonts w:hint="eastAsia" w:ascii="宋体" w:hAnsi="宋体" w:eastAsia="宋体" w:cs="宋体"/>
          <w:color w:val="auto"/>
          <w:szCs w:val="21"/>
          <w:highlight w:val="none"/>
        </w:rPr>
        <w:t>在原公告发布媒体上发布变更公告</w:t>
      </w:r>
      <w:r>
        <w:rPr>
          <w:rFonts w:hint="eastAsia" w:ascii="宋体" w:hAnsi="宋体" w:eastAsia="宋体" w:cs="宋体"/>
          <w:color w:val="auto"/>
          <w:szCs w:val="21"/>
          <w:highlight w:val="none"/>
          <w:shd w:val="clear" w:color="auto" w:fill="FFFFFF"/>
        </w:rPr>
        <w:t>，以书面形式通知所有接收采购文件的供应商，不足</w:t>
      </w: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日的，应当顺延首次递交响应文件截止时间。</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9.2澄清或者修改的内容为采购文件的组成部分，对所有采购文件的收受人具有约束力。供应商在收到上述通知后，应及时向采购代理机构回函确认。</w:t>
      </w: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highlight w:val="none"/>
        </w:rPr>
      </w:pP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highlight w:val="none"/>
        </w:rPr>
      </w:pPr>
    </w:p>
    <w:p>
      <w:pPr>
        <w:pStyle w:val="7"/>
        <w:adjustRightInd w:val="0"/>
        <w:snapToGrid w:val="0"/>
        <w:spacing w:before="312" w:beforeLines="100" w:after="156" w:afterLines="50" w:line="360" w:lineRule="auto"/>
        <w:jc w:val="center"/>
        <w:rPr>
          <w:rFonts w:hint="eastAsia" w:ascii="宋体" w:hAnsi="宋体" w:eastAsia="宋体" w:cs="宋体"/>
          <w:color w:val="auto"/>
          <w:highlight w:val="none"/>
        </w:rPr>
      </w:pPr>
      <w:bookmarkStart w:id="24" w:name="_Toc4485621"/>
      <w:bookmarkStart w:id="25" w:name="_Toc533340142"/>
      <w:r>
        <w:rPr>
          <w:rFonts w:hint="eastAsia" w:ascii="宋体" w:hAnsi="宋体" w:eastAsia="宋体" w:cs="宋体"/>
          <w:color w:val="auto"/>
          <w:highlight w:val="none"/>
        </w:rPr>
        <w:t>四 响应文件的编制</w:t>
      </w:r>
      <w:bookmarkEnd w:id="24"/>
      <w:bookmarkEnd w:id="25"/>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10.</w:t>
      </w:r>
      <w:r>
        <w:rPr>
          <w:rFonts w:hint="eastAsia" w:ascii="宋体" w:hAnsi="宋体" w:eastAsia="宋体" w:cs="宋体"/>
          <w:b/>
          <w:color w:val="auto"/>
          <w:szCs w:val="21"/>
          <w:highlight w:val="none"/>
        </w:rPr>
        <w:t>响应范围</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10.1项目有分包的，供应商可对采购文件其中某一个分包或几个分包进行响应。</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★10.2供应商应当对所响应分包在竞争性</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中“技术要求及工程量清单”所列的全部内容进行响应，如仅响应分包中某一部分内容，该响应将被认定为</w:t>
      </w:r>
      <w:r>
        <w:rPr>
          <w:rFonts w:hint="eastAsia" w:ascii="宋体" w:hAnsi="宋体" w:eastAsia="宋体" w:cs="宋体"/>
          <w:b/>
          <w:bCs/>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★10.3响应文件必须对竞争性</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有关工期、响应有效期、质量要求等实质性内容作出响应。</w:t>
      </w:r>
    </w:p>
    <w:p>
      <w:pPr>
        <w:adjustRightInd w:val="0"/>
        <w:snapToGrid w:val="0"/>
        <w:spacing w:line="360" w:lineRule="auto"/>
        <w:rPr>
          <w:rStyle w:val="48"/>
          <w:rFonts w:hint="eastAsia" w:ascii="宋体" w:hAnsi="宋体" w:eastAsia="宋体" w:cs="宋体"/>
          <w:color w:val="auto"/>
          <w:highlight w:val="none"/>
        </w:rPr>
      </w:pPr>
      <w:r>
        <w:rPr>
          <w:rFonts w:hint="eastAsia" w:ascii="宋体" w:hAnsi="宋体" w:eastAsia="宋体" w:cs="宋体"/>
          <w:color w:val="auto"/>
          <w:szCs w:val="21"/>
          <w:highlight w:val="none"/>
        </w:rPr>
        <w:t>10.4无论采购文件第三章技术要求及工程量清单中是否要求，供应商所响应工程均应符合国家强制性标准。</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11.响应文件构成</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★11.1供应商应完整地按采购文件提供的响应文件格式及要求编写响应文件。响应文件应包括资格证明文件、符合性证明文件、其它材料三部分。具体详见第二章 响应文件内容及格式。</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11.2供应商应按采购文件提供的格式编写响应文件。采购文件提供标准格式的按标准格式填列，未提供标准格式的可自行拟定。</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11.3样品或演示要求详见供应商须知表11.3条。</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★12.响应报价</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所有响应均按供应商须知表12.1条中要求货币进行报价。供应商须对磋商采购文件、图纸工程量中的每一个单项均须计算填写综合单价，投标人没有填写综合单价的项目将不予支付，并认为此项费用已包括在其它综合单价中。响应报价应包含人工费、机械费、材料费、管理费、利润、安全文明施工费、运费、税金等其它措施费等所有费用。</w:t>
      </w:r>
      <w:r>
        <w:rPr>
          <w:rFonts w:hint="eastAsia" w:ascii="宋体" w:hAnsi="宋体" w:eastAsia="宋体" w:cs="宋体"/>
          <w:b/>
          <w:bCs/>
          <w:color w:val="auto"/>
          <w:szCs w:val="21"/>
          <w:highlight w:val="none"/>
          <w:lang w:eastAsia="zh-CN"/>
        </w:rPr>
        <w:t>已标价的工程量清单由造价人员编制并加盖印章，若委托第三方中介机构需附委托协议。</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12.2本工程采用工程量清单计价，供应商应按第三章中“工程量清单编制说明及响应报价说明”的要求进行报价</w:t>
      </w:r>
      <w:r>
        <w:rPr>
          <w:rFonts w:hint="eastAsia" w:ascii="宋体" w:hAnsi="宋体" w:cs="宋体"/>
          <w:color w:val="auto"/>
          <w:szCs w:val="21"/>
          <w:highlight w:val="none"/>
          <w:lang w:eastAsia="zh-CN"/>
        </w:rPr>
        <w:t>，并</w:t>
      </w:r>
      <w:r>
        <w:rPr>
          <w:rFonts w:hint="eastAsia" w:ascii="宋体" w:hAnsi="宋体" w:eastAsia="宋体" w:cs="宋体"/>
          <w:color w:val="auto"/>
          <w:szCs w:val="21"/>
          <w:highlight w:val="none"/>
        </w:rPr>
        <w:t>在相关表格中标明响应工程量清单的单价和总价，完整地填写清单明细表，缺项、漏项将导致供应商报价</w:t>
      </w:r>
      <w:r>
        <w:rPr>
          <w:rFonts w:hint="eastAsia" w:ascii="宋体" w:hAnsi="宋体" w:eastAsia="宋体" w:cs="宋体"/>
          <w:b/>
          <w:bCs/>
          <w:color w:val="auto"/>
          <w:szCs w:val="21"/>
          <w:highlight w:val="none"/>
        </w:rPr>
        <w:t>无效</w:t>
      </w:r>
      <w:r>
        <w:rPr>
          <w:rFonts w:hint="eastAsia" w:ascii="宋体" w:hAnsi="宋体" w:cs="宋体"/>
          <w:color w:val="auto"/>
          <w:szCs w:val="21"/>
          <w:highlight w:val="none"/>
          <w:lang w:eastAsia="zh-CN"/>
        </w:rPr>
        <w:t>。</w:t>
      </w:r>
      <w:r>
        <w:rPr>
          <w:rFonts w:hint="eastAsia" w:ascii="宋体" w:hAnsi="宋体" w:eastAsia="宋体" w:cs="宋体"/>
          <w:b/>
          <w:bCs/>
          <w:color w:val="auto"/>
          <w:szCs w:val="21"/>
          <w:highlight w:val="none"/>
          <w:lang w:eastAsia="zh-CN"/>
        </w:rPr>
        <w:t>投标人不得擅自改动工程量清单，否则按废标处理</w:t>
      </w:r>
      <w:r>
        <w:rPr>
          <w:rFonts w:hint="eastAsia" w:ascii="宋体" w:hAnsi="宋体" w:cs="宋体"/>
          <w:b/>
          <w:bCs/>
          <w:color w:val="auto"/>
          <w:szCs w:val="21"/>
          <w:highlight w:val="none"/>
          <w:lang w:eastAsia="zh-CN"/>
        </w:rPr>
        <w:t>。</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 供应商在响应文件递交截止时间前，若修改响应函中的响应总报价，应同时修改“已标价工程量清单”中的相应报价。</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12.4每个工程量只能有一个响应报价。采购人不接受具有附加条件的报价。</w:t>
      </w:r>
      <w:r>
        <w:rPr>
          <w:rFonts w:hint="eastAsia" w:ascii="宋体" w:hAnsi="宋体" w:cs="宋体"/>
          <w:color w:val="auto"/>
          <w:szCs w:val="21"/>
          <w:highlight w:val="none"/>
          <w:lang w:eastAsia="zh-CN"/>
        </w:rPr>
        <w:t>响应函</w:t>
      </w:r>
      <w:r>
        <w:rPr>
          <w:rFonts w:hint="eastAsia" w:ascii="宋体" w:hAnsi="宋体" w:eastAsia="宋体" w:cs="宋体"/>
          <w:color w:val="auto"/>
          <w:szCs w:val="21"/>
          <w:highlight w:val="none"/>
        </w:rPr>
        <w:t>标明的价格为供应商第一次所报价格，通过资格审查和符合性审查的供应商进行最后报价。</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12.5除非采购文件另有规定，报价原则上精确到小数点后两位。</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12.6</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必须详细研究工程量清单，充分考虑可能发生的任何足以影响承包价的风险因素，所有因忽略或误解工程状况而导致的费用索赔或工期延长将不被批准。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12.11</w:t>
      </w:r>
      <w:r>
        <w:rPr>
          <w:rFonts w:hint="eastAsia" w:ascii="宋体" w:hAnsi="宋体" w:eastAsia="宋体" w:cs="宋体"/>
          <w:color w:val="auto"/>
          <w:szCs w:val="21"/>
          <w:highlight w:val="none"/>
        </w:rPr>
        <w:t>工程量清单修正报价</w:t>
      </w:r>
    </w:p>
    <w:p>
      <w:pPr>
        <w:adjustRightInd w:val="0"/>
        <w:snapToGrid w:val="0"/>
        <w:spacing w:line="360" w:lineRule="auto"/>
        <w:ind w:firstLine="630" w:firstLineChars="3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如提交须修正报价必须提供修正理由、依据和相应单价修正明细表，并按本须知的规定编制、密封、标志和发送，还要在包封上标明“修改”或“撤回”字样</w:t>
      </w:r>
      <w:r>
        <w:rPr>
          <w:rFonts w:hint="eastAsia" w:ascii="宋体" w:hAnsi="宋体" w:eastAsia="宋体" w:cs="宋体"/>
          <w:color w:val="auto"/>
          <w:szCs w:val="21"/>
          <w:highlight w:val="none"/>
          <w:lang w:eastAsia="zh-CN"/>
        </w:rPr>
        <w:t>。</w:t>
      </w:r>
    </w:p>
    <w:p>
      <w:pPr>
        <w:adjustRightInd w:val="0"/>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12.12</w:t>
      </w:r>
      <w:r>
        <w:rPr>
          <w:rFonts w:hint="eastAsia" w:ascii="宋体" w:hAnsi="宋体" w:eastAsia="宋体" w:cs="宋体"/>
          <w:color w:val="auto"/>
          <w:szCs w:val="21"/>
          <w:highlight w:val="none"/>
        </w:rPr>
        <w:t>投标和支付所使用的货币：</w:t>
      </w:r>
      <w:r>
        <w:rPr>
          <w:rFonts w:hint="eastAsia" w:ascii="宋体" w:hAnsi="宋体" w:cs="宋体"/>
          <w:color w:val="auto"/>
          <w:szCs w:val="21"/>
          <w:highlight w:val="none"/>
          <w:lang w:val="en-US" w:eastAsia="zh-CN"/>
        </w:rPr>
        <w:t>供应商</w:t>
      </w:r>
      <w:r>
        <w:rPr>
          <w:rFonts w:hint="eastAsia" w:ascii="宋体" w:hAnsi="宋体" w:eastAsia="宋体" w:cs="宋体"/>
          <w:color w:val="auto"/>
          <w:szCs w:val="21"/>
          <w:highlight w:val="none"/>
        </w:rPr>
        <w:t>应以人民币填报所有综合单价和价格，合同实施时亦以人民币支付。</w:t>
      </w:r>
    </w:p>
    <w:p>
      <w:pPr>
        <w:adjustRightInd w:val="0"/>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★13.磋商保证金</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13.1供应商应提交供应商须知表13.1条中规定的磋商保证金，并作为其响应文件的一部分。</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13.2磋商保证金缴纳人、采购文件领取人、提交响应文件登记人和供应商必须为同一组织机构或联合体内不同成员单位，否则将视同未按采购文件规定交纳保证金。</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13.3供应商存在下列情形的，磋商保证金不予退还:</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（1）供应商在提交响应文件截止时间后撤回响应文件的；</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（2）供应商在响应文件中提供虚假材料的；</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（3）成交后除因不可抗力或者采购文件认可的情形以外，不按本须知第36条的规定与采购人签订合同的；</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（4）成交后不按本须知第37条的规定提交履约保证金的;</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（5）成交后不按本须知第38条的规定缴纳采购代理服务费的;</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（6）采购文件规定的其他保证金不予退还情形或存在其他违法违规行为的。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13.4联合体参加采购活动的，可以由联合体中的一方或者共同提交磋商保证金。以一方名义提交磋商保证金的，对联合体各方均具有约束力。</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13.5磋商保证金的退还</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13.5.1成交供应商应在与采购人签订合同之日起5个工作日内，及时联系保证金收受机构办理磋商保证金退还手续。</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13.5.2未成交供应商的保证金将在成交通知书发出之日暨成交结果公告公布之日起5个工作日内无息退还。供应商应及时联系保证金收受机构办理退还磋商保证金手续。</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13.5.3供应商在递交响应文件截止时间前撤回已提交的响应文件的，供应商应自采购人或者采购代理机构收到供应商书面撤回通知之日起５个工作日内，及时联系保证金收受机构办理磋商保证金退还手续。</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13.5.4 政府采购担保函不予退回。</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 因供应商自身原因导致无法及时退还的，采购人或采购代理机构将不承担相应责任。</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★14.证明响应标的的合格性和符合采购文件规定的技术文件</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14.1供应商应提交证明文件，证明其响应内容符合采购文件规定。该证明文件是响应文件的一部分。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14.2上款所述的证明文件，可以是文字资料、图纸和数据。</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★15.响应有效期</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w:t>
      </w:r>
      <w:r>
        <w:rPr>
          <w:rFonts w:hint="eastAsia" w:ascii="宋体" w:hAnsi="宋体" w:cs="宋体"/>
          <w:color w:val="auto"/>
          <w:szCs w:val="21"/>
          <w:highlight w:val="none"/>
          <w:lang w:val="en-US" w:eastAsia="zh-CN"/>
        </w:rPr>
        <w:t>文件</w:t>
      </w:r>
      <w:r>
        <w:rPr>
          <w:rFonts w:hint="eastAsia" w:ascii="宋体" w:hAnsi="宋体" w:eastAsia="宋体" w:cs="宋体"/>
          <w:color w:val="auto"/>
          <w:szCs w:val="21"/>
          <w:highlight w:val="none"/>
        </w:rPr>
        <w:t>应在供应商须知表15.1条中规定的响应有效期内保持有效。响应有效期不满足要求的响应，其响应文件将被认定为</w:t>
      </w:r>
      <w:r>
        <w:rPr>
          <w:rFonts w:hint="eastAsia" w:ascii="宋体" w:hAnsi="宋体" w:eastAsia="宋体" w:cs="宋体"/>
          <w:b/>
          <w:bCs/>
          <w:color w:val="auto"/>
          <w:szCs w:val="21"/>
          <w:highlight w:val="none"/>
        </w:rPr>
        <w:t>无效响应。</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pPr>
        <w:adjustRightInd w:val="0"/>
        <w:snapToGrid w:val="0"/>
        <w:spacing w:line="360" w:lineRule="auto"/>
        <w:rPr>
          <w:rFonts w:hint="eastAsia" w:ascii="宋体" w:hAnsi="宋体" w:eastAsia="宋体" w:cs="宋体"/>
          <w:b/>
          <w:color w:val="auto"/>
          <w:szCs w:val="21"/>
          <w:highlight w:val="none"/>
        </w:rPr>
      </w:pPr>
      <w:bookmarkStart w:id="26" w:name="_Toc533340143"/>
      <w:bookmarkStart w:id="27" w:name="_Toc4485622"/>
      <w:r>
        <w:rPr>
          <w:rFonts w:hint="eastAsia" w:ascii="宋体" w:hAnsi="宋体" w:eastAsia="宋体" w:cs="宋体"/>
          <w:b/>
          <w:color w:val="auto"/>
          <w:szCs w:val="21"/>
          <w:highlight w:val="none"/>
        </w:rPr>
        <w:t>16.响应文件的签署及规定</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16.1供应商应按供应商须知表16.1款中的规定，准备和递交</w:t>
      </w:r>
      <w:r>
        <w:rPr>
          <w:rFonts w:hint="eastAsia" w:ascii="宋体" w:hAnsi="宋体" w:cs="宋体"/>
          <w:color w:val="auto"/>
          <w:szCs w:val="21"/>
          <w:highlight w:val="none"/>
          <w:lang w:val="en-US" w:eastAsia="zh-CN"/>
        </w:rPr>
        <w:t>纸质</w:t>
      </w:r>
      <w:r>
        <w:rPr>
          <w:rFonts w:hint="eastAsia" w:ascii="宋体" w:hAnsi="宋体" w:eastAsia="宋体" w:cs="宋体"/>
          <w:color w:val="auto"/>
          <w:szCs w:val="21"/>
          <w:highlight w:val="none"/>
        </w:rPr>
        <w:t>响应文件正本、副本和电子文档。</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★16.2每份响应文件封皮须清楚地标明“正本”或“副本”。若正本和副本不符，以正本为准。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highlight w:val="none"/>
        </w:rPr>
      </w:pPr>
    </w:p>
    <w:bookmarkEnd w:id="26"/>
    <w:bookmarkEnd w:id="27"/>
    <w:p>
      <w:pPr>
        <w:pStyle w:val="7"/>
        <w:adjustRightInd w:val="0"/>
        <w:snapToGrid w:val="0"/>
        <w:spacing w:before="312" w:beforeLines="100" w:after="156" w:afterLines="50"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五 响应文件的递交</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★17.响应文件的密封和标记</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17.1供应商应将电子文档密封，并进行包封。</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17.2所有包装封皮上均应：</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（1）注明项目名称、项目编号、包号、供应商名称。</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（2）加盖供应商单位公章。</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宋体" w:hAnsi="宋体" w:eastAsia="宋体" w:cs="宋体"/>
          <w:color w:val="auto"/>
          <w:szCs w:val="21"/>
          <w:highlight w:val="none"/>
        </w:rPr>
        <w:t>17.3如果供应商未按上述要求密封，其响应文件将被</w:t>
      </w:r>
      <w:r>
        <w:rPr>
          <w:rFonts w:hint="eastAsia" w:ascii="宋体" w:hAnsi="宋体" w:eastAsia="宋体" w:cs="宋体"/>
          <w:b/>
          <w:color w:val="auto"/>
          <w:szCs w:val="21"/>
          <w:highlight w:val="none"/>
        </w:rPr>
        <w:t>拒绝接收。</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★18.递交响应文件截止</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18.1供应商应在供应商须知表18.1条中规定的截止时间前，将响应文件递交到供应商须知表18.1条中规定的地点。</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18.2采购人和采购代理机构有权按本须知的规定，延迟递交响应文件截止时间。在此情况下，采购人、采购代理机构和供应商受递交响应文件截止时间制约的所有权利和义务均应延长至新的截止时间。</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★19.响应文件的接收、修改与撤回</w:t>
      </w:r>
    </w:p>
    <w:p>
      <w:pPr>
        <w:adjustRightInd w:val="0"/>
        <w:snapToGrid w:val="0"/>
        <w:spacing w:line="360" w:lineRule="auto"/>
        <w:rPr>
          <w:rFonts w:hint="eastAsia" w:ascii="仿宋_GB2312" w:hAnsi="仿宋_GB2312" w:eastAsia="仿宋_GB2312" w:cs="仿宋_GB2312"/>
          <w:color w:val="auto"/>
          <w:szCs w:val="21"/>
          <w:highlight w:val="none"/>
        </w:rPr>
      </w:pPr>
      <w:r>
        <w:rPr>
          <w:rFonts w:hint="eastAsia" w:ascii="宋体" w:hAnsi="宋体" w:eastAsia="宋体" w:cs="宋体"/>
          <w:color w:val="auto"/>
          <w:szCs w:val="21"/>
          <w:highlight w:val="none"/>
        </w:rPr>
        <w:t>19.1在递交响应文件截止时间后送达的响应文件,采购人和采购代理机构将</w:t>
      </w:r>
      <w:r>
        <w:rPr>
          <w:rFonts w:hint="eastAsia" w:ascii="宋体" w:hAnsi="宋体" w:eastAsia="宋体" w:cs="宋体"/>
          <w:b/>
          <w:color w:val="auto"/>
          <w:szCs w:val="21"/>
          <w:highlight w:val="none"/>
        </w:rPr>
        <w:t>拒绝接收。</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19.3在提交响应文件截止时间之后，除需提交最后报价外，供应商不得对其响应文件做任何修改；</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19.4采购人和采购代理机构对所接收并进行磋商的响应文件概不退回。</w:t>
      </w: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highlight w:val="none"/>
        </w:rPr>
      </w:pPr>
    </w:p>
    <w:p>
      <w:pPr>
        <w:adjustRightInd w:val="0"/>
        <w:snapToGrid w:val="0"/>
        <w:spacing w:line="360" w:lineRule="auto"/>
        <w:rPr>
          <w:rFonts w:hint="eastAsia" w:ascii="宋体" w:hAnsi="宋体" w:eastAsia="宋体" w:cs="宋体"/>
          <w:b w:val="0"/>
          <w:bCs w:val="0"/>
          <w:color w:val="auto"/>
          <w:szCs w:val="21"/>
          <w:highlight w:val="none"/>
        </w:rPr>
      </w:pPr>
    </w:p>
    <w:p>
      <w:pPr>
        <w:adjustRightInd w:val="0"/>
        <w:snapToGrid w:val="0"/>
        <w:spacing w:line="360" w:lineRule="auto"/>
        <w:rPr>
          <w:rFonts w:hint="eastAsia" w:ascii="宋体" w:hAnsi="宋体" w:eastAsia="宋体" w:cs="宋体"/>
          <w:color w:val="auto"/>
          <w:szCs w:val="21"/>
          <w:highlight w:val="none"/>
        </w:rPr>
      </w:pPr>
    </w:p>
    <w:p>
      <w:pPr>
        <w:pStyle w:val="7"/>
        <w:adjustRightInd w:val="0"/>
        <w:snapToGrid w:val="0"/>
        <w:spacing w:before="312" w:beforeLines="100" w:after="0" w:line="360" w:lineRule="auto"/>
        <w:jc w:val="center"/>
        <w:rPr>
          <w:rFonts w:hint="eastAsia" w:ascii="宋体" w:hAnsi="宋体" w:eastAsia="宋体" w:cs="宋体"/>
          <w:color w:val="auto"/>
          <w:highlight w:val="none"/>
        </w:rPr>
      </w:pPr>
      <w:bookmarkStart w:id="28" w:name="_Toc533340144"/>
      <w:bookmarkStart w:id="29" w:name="_Toc4485623"/>
      <w:r>
        <w:rPr>
          <w:rFonts w:hint="eastAsia" w:ascii="宋体" w:hAnsi="宋体" w:eastAsia="宋体" w:cs="宋体"/>
          <w:color w:val="auto"/>
          <w:highlight w:val="none"/>
        </w:rPr>
        <w:t>六 磋商及评审</w:t>
      </w:r>
      <w:bookmarkEnd w:id="28"/>
      <w:bookmarkEnd w:id="29"/>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★20.磋商会议</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20.1采购人和采购代理机构将按供应商须知表20.1条中规定的时间和地点组织磋商会议并邀请所有供应商代表参加。</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供应商不足3家的，不得继续磋商。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20.2由供应商或其推选的代表检查</w:t>
      </w:r>
      <w:r>
        <w:rPr>
          <w:rFonts w:hint="eastAsia" w:ascii="宋体" w:hAnsi="宋体" w:cs="宋体"/>
          <w:b/>
          <w:color w:val="auto"/>
          <w:szCs w:val="21"/>
          <w:highlight w:val="none"/>
          <w:lang w:eastAsia="zh-CN"/>
        </w:rPr>
        <w:t>响应文件</w:t>
      </w:r>
      <w:r>
        <w:rPr>
          <w:rFonts w:hint="eastAsia" w:ascii="宋体" w:hAnsi="宋体" w:eastAsia="宋体" w:cs="宋体"/>
          <w:color w:val="auto"/>
          <w:szCs w:val="21"/>
          <w:highlight w:val="none"/>
        </w:rPr>
        <w:t>的密封情况，确认无误后进行记录。</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20.3供应商代表对磋商会议过程有疑义，以及认为采购人、采购代理机构相关工作人员有需要回避的情形的，应当场提出询问或者回避申请。</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★21.组建磋商小组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21.1按照《政府采购竞争性磋商采购方式暂行办法》有关规定依法组建磋商小组，负责本项目评审工作。</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21.2磋商小组由采购人代表和评审专家共</w:t>
      </w:r>
      <w:r>
        <w:rPr>
          <w:rFonts w:hint="eastAsia" w:ascii="宋体" w:hAnsi="宋体" w:cs="宋体"/>
          <w:color w:val="auto"/>
          <w:highlight w:val="none"/>
          <w:lang w:val="en-US" w:eastAsia="zh-CN"/>
        </w:rPr>
        <w:t>5</w:t>
      </w:r>
      <w:r>
        <w:rPr>
          <w:rFonts w:hint="eastAsia" w:ascii="宋体" w:hAnsi="宋体" w:eastAsia="宋体" w:cs="宋体"/>
          <w:color w:val="auto"/>
          <w:highlight w:val="none"/>
        </w:rPr>
        <w:t>人单数组成。</w:t>
      </w:r>
      <w:r>
        <w:rPr>
          <w:rFonts w:hint="eastAsia" w:ascii="宋体" w:hAnsi="宋体" w:eastAsia="宋体" w:cs="宋体"/>
          <w:color w:val="auto"/>
          <w:szCs w:val="21"/>
          <w:highlight w:val="none"/>
        </w:rPr>
        <w:t>本项目磋商小组组成详见供应商须知表21.2条。</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★22.资格审查</w:t>
      </w:r>
    </w:p>
    <w:p>
      <w:pPr>
        <w:adjustRightInd w:val="0"/>
        <w:snapToGrid w:val="0"/>
        <w:spacing w:line="360" w:lineRule="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highlight w:val="none"/>
        </w:rPr>
        <w:t>22.1磋商小组依据法律法规和采购文件中规定的内容，对供应商的资格（提交的资格证明材料）进行审查。未通过资格审查的供应商不能进入下一阶段评审；通过资格审查的供应商不足3家的</w:t>
      </w:r>
      <w:r>
        <w:rPr>
          <w:rFonts w:hint="eastAsia" w:ascii="宋体" w:hAnsi="宋体" w:eastAsia="宋体" w:cs="宋体"/>
          <w:color w:val="auto"/>
          <w:szCs w:val="21"/>
          <w:highlight w:val="none"/>
          <w:shd w:val="clear" w:color="auto" w:fill="FFFFFF"/>
        </w:rPr>
        <w:t>，不得进入下一阶段评审。</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22.2采购人或采购代理机构将在递交响应文件截止时间前一个工作日至资格审查结束前的期间内查询供应商的信用记录。供应商存在不良信用记录的，其响应将被认定为</w:t>
      </w:r>
      <w:r>
        <w:rPr>
          <w:rFonts w:hint="eastAsia" w:ascii="宋体" w:hAnsi="宋体" w:eastAsia="宋体" w:cs="宋体"/>
          <w:b/>
          <w:bCs/>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shd w:val="clear" w:color="auto" w:fill="FFFFFF"/>
        </w:rPr>
        <w:t>22.2.1</w:t>
      </w:r>
      <w:r>
        <w:rPr>
          <w:rFonts w:hint="eastAsia" w:ascii="宋体" w:hAnsi="宋体" w:eastAsia="宋体" w:cs="宋体"/>
          <w:color w:val="auto"/>
          <w:szCs w:val="21"/>
          <w:highlight w:val="none"/>
        </w:rPr>
        <w:t>不良信用记录指：供应商在中国政府采购网（www.ccgp.gov.cn）被列入政府采购严重违法失信行为记录名单，或在“信用中国”网站（www.creditchina.gov.cn）被列入失信被执行人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以及存在《中华人民共和国政府采购法实施条例》第十九条规定的行政处罚记录。</w:t>
      </w:r>
    </w:p>
    <w:p>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rPr>
        <w:t>以</w:t>
      </w:r>
      <w:r>
        <w:rPr>
          <w:rFonts w:hint="eastAsia" w:ascii="宋体" w:hAnsi="宋体" w:eastAsia="宋体" w:cs="宋体"/>
          <w:color w:val="auto"/>
          <w:szCs w:val="21"/>
          <w:highlight w:val="none"/>
          <w:shd w:val="clear" w:color="auto" w:fill="FFFFFF"/>
        </w:rPr>
        <w:t>联合体形式参加政府采购活动的，联合体任何成员存在以上不良信用记录的，联合体响应文件将被认定为</w:t>
      </w:r>
      <w:r>
        <w:rPr>
          <w:rFonts w:hint="eastAsia" w:ascii="宋体" w:hAnsi="宋体" w:eastAsia="宋体" w:cs="宋体"/>
          <w:b/>
          <w:bCs/>
          <w:color w:val="auto"/>
          <w:szCs w:val="21"/>
          <w:highlight w:val="none"/>
          <w:shd w:val="clear" w:color="auto" w:fill="FFFFFF"/>
        </w:rPr>
        <w:t>无效响应</w:t>
      </w:r>
      <w:r>
        <w:rPr>
          <w:rFonts w:hint="eastAsia" w:ascii="宋体" w:hAnsi="宋体" w:eastAsia="宋体" w:cs="宋体"/>
          <w:color w:val="auto"/>
          <w:szCs w:val="21"/>
          <w:highlight w:val="none"/>
          <w:shd w:val="clear" w:color="auto" w:fill="FFFFFF"/>
        </w:rPr>
        <w:t>。</w:t>
      </w:r>
    </w:p>
    <w:p>
      <w:pPr>
        <w:adjustRightInd w:val="0"/>
        <w:snapToGrid w:val="0"/>
        <w:spacing w:line="360" w:lineRule="auto"/>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rPr>
        <w:t>22.2.2</w:t>
      </w:r>
      <w:r>
        <w:rPr>
          <w:rFonts w:hint="eastAsia" w:ascii="宋体" w:hAnsi="宋体" w:eastAsia="宋体" w:cs="宋体"/>
          <w:color w:val="auto"/>
          <w:szCs w:val="21"/>
          <w:highlight w:val="none"/>
          <w:shd w:val="clear" w:color="auto" w:fill="FFFFFF"/>
        </w:rPr>
        <w:t>查询及记录方式：采购代理机构经办人将查询网页打印并存档备查。供应商不良信用记录以采购人或采购代理机构查询结果为准。</w:t>
      </w:r>
    </w:p>
    <w:p>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在本采购文件规定的查询时间之后，网站信息发生的任何变更均不再作为评审依据。</w:t>
      </w:r>
    </w:p>
    <w:p>
      <w:pPr>
        <w:adjustRightInd w:val="0"/>
        <w:snapToGrid w:val="0"/>
        <w:spacing w:line="360" w:lineRule="auto"/>
        <w:ind w:firstLine="420" w:firstLineChars="200"/>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供应商在自行提供的与网站信息不一致的其他证明材料亦不作为资格审查依据。</w:t>
      </w:r>
    </w:p>
    <w:p>
      <w:pPr>
        <w:adjustRightInd w:val="0"/>
        <w:snapToGrid w:val="0"/>
        <w:spacing w:line="360" w:lineRule="auto"/>
        <w:rPr>
          <w:rFonts w:hint="eastAsia" w:ascii="宋体" w:hAnsi="宋体" w:eastAsia="宋体" w:cs="宋体"/>
          <w:b/>
          <w:color w:val="auto"/>
          <w:szCs w:val="21"/>
          <w:highlight w:val="none"/>
          <w:shd w:val="clear" w:color="auto" w:fill="FFFFFF"/>
        </w:rPr>
      </w:pP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shd w:val="clear" w:color="auto" w:fill="FFFFFF"/>
        </w:rPr>
        <w:t>23.符合性审查</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23.1</w:t>
      </w:r>
      <w:r>
        <w:rPr>
          <w:rFonts w:hint="eastAsia" w:ascii="宋体" w:hAnsi="宋体" w:eastAsia="宋体" w:cs="宋体"/>
          <w:color w:val="auto"/>
          <w:szCs w:val="21"/>
          <w:highlight w:val="none"/>
          <w:shd w:val="clear" w:color="auto" w:fill="FFFFFF"/>
        </w:rPr>
        <w:t>符合性审查是指依据采购文件的规定，从响应文件的有效性和完整性对采购文件的响应程度进行审查，以确定是否对采购文件的实质性要求做出响应。</w:t>
      </w:r>
      <w:r>
        <w:rPr>
          <w:rFonts w:hint="eastAsia" w:ascii="宋体" w:hAnsi="宋体" w:eastAsia="宋体" w:cs="宋体"/>
          <w:color w:val="auto"/>
          <w:szCs w:val="21"/>
          <w:highlight w:val="none"/>
        </w:rPr>
        <w:t>供应商应按照第二章《响应文件内容及格式》中的相应要求，提交符合性证明材料。未通过符合性审查的供应商不能进入下一阶段评审，其响应将被认定为</w:t>
      </w:r>
      <w:r>
        <w:rPr>
          <w:rFonts w:hint="eastAsia" w:ascii="宋体" w:hAnsi="宋体" w:eastAsia="宋体" w:cs="宋体"/>
          <w:b/>
          <w:bCs/>
          <w:color w:val="auto"/>
          <w:szCs w:val="21"/>
          <w:highlight w:val="none"/>
        </w:rPr>
        <w:t>无效响应</w:t>
      </w:r>
      <w:r>
        <w:rPr>
          <w:rFonts w:hint="eastAsia" w:ascii="宋体" w:hAnsi="宋体" w:eastAsia="宋体" w:cs="宋体"/>
          <w:color w:val="auto"/>
          <w:szCs w:val="21"/>
          <w:highlight w:val="none"/>
        </w:rPr>
        <w:t>；通过符合性审查的供应商数量不足3家的，不得作进一步的比较和评价，</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24.样品及演示</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24.1供应商须知表11.3条中要求供应商提供样品或演示的，按照供应商须知表24.1条中样品或演示的评审办法以及评审标准进行评审。</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25.响应文件的澄清</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w:t>
      </w:r>
      <w:r>
        <w:rPr>
          <w:rFonts w:hint="eastAsia" w:ascii="宋体" w:hAnsi="宋体" w:eastAsia="宋体" w:cs="宋体"/>
          <w:color w:val="auto"/>
          <w:szCs w:val="21"/>
          <w:highlight w:val="none"/>
          <w:shd w:val="clear" w:color="auto" w:fill="FFFFFF"/>
        </w:rPr>
        <w:t>在磋商期间，磋商小组可以书面要求供应商对其响应文件中含义不明确、同类问题表述不一致或者有明显文字和计算错误的内容</w:t>
      </w:r>
      <w:r>
        <w:rPr>
          <w:rFonts w:hint="eastAsia" w:ascii="宋体" w:hAnsi="宋体" w:eastAsia="宋体" w:cs="宋体"/>
          <w:color w:val="auto"/>
          <w:szCs w:val="21"/>
          <w:highlight w:val="none"/>
        </w:rPr>
        <w:t>作必要的澄清、说明或补正。供应商的澄清、说明或补正应在磋商小组规定的时间内以书面方式进行，并不得超出响应文件范围或者改变响应文件的实质性内容。供应商拒不进行澄清、说明、补正的，或者不能在规定时间内作出书面澄清、说明、补正的，其响应文件将被作为</w:t>
      </w:r>
      <w:r>
        <w:rPr>
          <w:rFonts w:hint="eastAsia" w:ascii="宋体" w:hAnsi="宋体" w:eastAsia="宋体" w:cs="宋体"/>
          <w:b/>
          <w:bCs/>
          <w:color w:val="auto"/>
          <w:szCs w:val="21"/>
          <w:highlight w:val="none"/>
        </w:rPr>
        <w:t>无效响应处理</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25.1.1供应商的澄清、说明或者补正应当由法定代表人（或非法人组织负责人）或其授权代表签字或者加盖公章。供应商为自然人的，应当由本人签字并附身份证明。</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25.1.2供应商的澄清、说明或补正将作为响应文件的一部分。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25.2响应文件报价出现前后不一致的，按照下列规定修正：</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（1）响应文件中报价一览表内容与响应文件中相应内容不一致的，以报价一览表为准；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（3）单价金额小数点或者百分比有明显错位的，以报价一览表的总价为准，并修改单价；</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同时出现两种以上不一致的，按照前款规定的顺序修正。修正后的报价经供应商确认后产生约束力，供应商不确认的，其响应文件将被认定为</w:t>
      </w:r>
      <w:r>
        <w:rPr>
          <w:rFonts w:hint="eastAsia" w:ascii="宋体" w:hAnsi="宋体" w:eastAsia="宋体" w:cs="宋体"/>
          <w:b/>
          <w:bCs/>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25.3</w:t>
      </w:r>
      <w:r>
        <w:rPr>
          <w:rFonts w:hint="eastAsia" w:ascii="宋体" w:hAnsi="宋体" w:eastAsia="宋体" w:cs="宋体"/>
          <w:bCs/>
          <w:color w:val="auto"/>
          <w:szCs w:val="21"/>
          <w:highlight w:val="none"/>
        </w:rPr>
        <w:t>磋商小组认为</w:t>
      </w:r>
      <w:r>
        <w:rPr>
          <w:rFonts w:hint="eastAsia" w:ascii="宋体" w:hAnsi="宋体" w:eastAsia="宋体" w:cs="宋体"/>
          <w:color w:val="auto"/>
          <w:szCs w:val="21"/>
          <w:highlight w:val="none"/>
        </w:rPr>
        <w:t>供应商的最后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w:t>
      </w:r>
      <w:r>
        <w:rPr>
          <w:rFonts w:hint="eastAsia" w:ascii="宋体" w:hAnsi="宋体" w:eastAsia="宋体" w:cs="宋体"/>
          <w:b/>
          <w:bCs/>
          <w:color w:val="auto"/>
          <w:szCs w:val="21"/>
          <w:highlight w:val="none"/>
        </w:rPr>
        <w:t>无效响应</w:t>
      </w:r>
      <w:r>
        <w:rPr>
          <w:rFonts w:hint="eastAsia" w:ascii="宋体" w:hAnsi="宋体" w:eastAsia="宋体" w:cs="宋体"/>
          <w:color w:val="auto"/>
          <w:szCs w:val="21"/>
          <w:highlight w:val="none"/>
        </w:rPr>
        <w:t>处理。提交 证明材料的合理时间按第五章 评审办法规定执行。</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★26.磋商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26.2在磋商过程中，磋商小组可以根据采购文件和磋商情况，</w:t>
      </w:r>
      <w:r>
        <w:rPr>
          <w:rFonts w:hint="eastAsia" w:ascii="宋体" w:hAnsi="宋体" w:eastAsia="宋体" w:cs="宋体"/>
          <w:b/>
          <w:color w:val="auto"/>
          <w:szCs w:val="21"/>
          <w:highlight w:val="none"/>
        </w:rPr>
        <w:t>经采购人代表确认后</w:t>
      </w:r>
      <w:r>
        <w:rPr>
          <w:rFonts w:hint="eastAsia" w:ascii="宋体" w:hAnsi="宋体" w:eastAsia="宋体" w:cs="宋体"/>
          <w:color w:val="auto"/>
          <w:szCs w:val="21"/>
          <w:highlight w:val="none"/>
        </w:rPr>
        <w:t>变动</w:t>
      </w:r>
      <w:r>
        <w:rPr>
          <w:rFonts w:hint="eastAsia" w:ascii="宋体" w:hAnsi="宋体" w:eastAsia="宋体" w:cs="宋体"/>
          <w:color w:val="auto"/>
          <w:szCs w:val="21"/>
          <w:highlight w:val="none"/>
          <w:lang w:eastAsia="zh-CN"/>
        </w:rPr>
        <w:t>工程量清单</w:t>
      </w:r>
      <w:r>
        <w:rPr>
          <w:rFonts w:hint="eastAsia" w:ascii="宋体" w:hAnsi="宋体" w:eastAsia="宋体" w:cs="宋体"/>
          <w:color w:val="auto"/>
          <w:szCs w:val="21"/>
          <w:highlight w:val="none"/>
        </w:rPr>
        <w:t>中的技术、服务要求以及合同草案条例等实质性内容。</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26.3对采购文件作出实质性变动是采购文件的有效组成部分，磋商小组将以书面形式同时通知所有参加磋商的供应商。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pPr>
        <w:pStyle w:val="149"/>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26.5磋商次数：原则为2次磋商，通过审查的供应商顺序，竞争性磋商小组与单一供应商展开磋商，若最后一轮磋商，出现最低报价等同家数超过1个的，磋商小组将采用追加一轮报价的方式进行。</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★27.最后报价</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27.1磋商结束后，磋商小组将要求所有实质性响应的供应商在规定时间内提交最后报价，且提交最后报价的供应商不少于3家。</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27.2最后报价是供应商响应文件的有效组成部分。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★28.响应无效</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28.1在比较与评价之前，根据本须知的规定，磋商小组将审查每份响应文件是否实质上响应了采购文件的要求。</w:t>
      </w:r>
    </w:p>
    <w:p>
      <w:pPr>
        <w:adjustRightInd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实质性要求是指采购文件中带有★号标识内容（包括本级及其下级编号中所有内容）等文字说明的要求。</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对采购文件的实质性要求进行响应是指与采购文件中带有★号标识内容的文字说明、条款、条件和规格等要求相符。</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如果响应文件没有对采购文件的实质性要求进行响应，将作为</w:t>
      </w:r>
      <w:r>
        <w:rPr>
          <w:rFonts w:hint="eastAsia" w:ascii="宋体" w:hAnsi="宋体" w:eastAsia="宋体" w:cs="宋体"/>
          <w:b/>
          <w:bCs/>
          <w:color w:val="auto"/>
          <w:szCs w:val="21"/>
          <w:highlight w:val="none"/>
        </w:rPr>
        <w:t>无效响应</w:t>
      </w:r>
      <w:r>
        <w:rPr>
          <w:rFonts w:hint="eastAsia" w:ascii="宋体" w:hAnsi="宋体" w:eastAsia="宋体" w:cs="宋体"/>
          <w:color w:val="auto"/>
          <w:szCs w:val="21"/>
          <w:highlight w:val="none"/>
        </w:rPr>
        <w:t>处理，供应商不得再对响应文件进行任何修正从而使其响应成为实质上响应。</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磋商小组决定是否实质性响应只根据采购文件要求、响应文件内容及财政主管部门指定媒体发布的相关信息。</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28.2 如发现下列情况之一的，其响应文件将被认定为</w:t>
      </w:r>
      <w:r>
        <w:rPr>
          <w:rFonts w:hint="eastAsia" w:ascii="宋体" w:hAnsi="宋体" w:eastAsia="宋体" w:cs="宋体"/>
          <w:b/>
          <w:bCs/>
          <w:color w:val="auto"/>
          <w:szCs w:val="21"/>
          <w:highlight w:val="none"/>
        </w:rPr>
        <w:t>无效响应</w:t>
      </w:r>
      <w:r>
        <w:rPr>
          <w:rFonts w:hint="eastAsia" w:ascii="宋体" w:hAnsi="宋体" w:eastAsia="宋体" w:cs="宋体"/>
          <w:color w:val="auto"/>
          <w:szCs w:val="21"/>
          <w:highlight w:val="none"/>
        </w:rPr>
        <w:t>：</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（1）未按采购文件的规定提交磋商保证金的；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（2）未按照采购文件规定要求签署、盖章的；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（3）供应商的报价超过了采购文件中规定的预算金额或者最高限价的；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（4）不具备采购文件中规定的资格要求的；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（5）不符合法律、法规和采购文件中规定的实质性要求的。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（6）磋商小组认为供应商的报价明显低于其他通过符合性审查供应商的报价，有可能影响履约的，且供应商未按照规定证明其报价合理性的；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（7）响应文件含有采购人不能接受的附加条件的；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（8）属于法律、法规和采购文件中规定的其他无效响应情形的。</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29.比较与评价</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29.1经符合性审查合格的响应文件，磋商小组将根据采购文件确定的评审办法，对其技术部分和商务部分作进一步的比较和评价。</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 评审严格按照采购文件的要求和条件进行。按照供应商须知表29.2条规定的综合评分法进行评审，详细评审标准见采购文件第五章 评审方法。</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综合评分法，是指响应文件满足采购文件全部实质性要求且按评审因素的量化指标评审得分最高的供应商为成交候选供应商的评审方法。</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 根据</w:t>
      </w:r>
      <w:r>
        <w:rPr>
          <w:rFonts w:hint="eastAsia" w:ascii="宋体" w:hAnsi="宋体" w:eastAsia="宋体" w:cs="宋体"/>
          <w:color w:val="auto"/>
          <w:szCs w:val="21"/>
          <w:highlight w:val="none"/>
          <w:lang w:eastAsia="zh-CN"/>
        </w:rPr>
        <w:t>《政府采购促进中小企业发展管理办法》（财库[2020]46号）</w:t>
      </w:r>
      <w:r>
        <w:rPr>
          <w:rFonts w:hint="eastAsia" w:ascii="宋体" w:hAnsi="宋体" w:eastAsia="宋体" w:cs="宋体"/>
          <w:color w:val="auto"/>
          <w:szCs w:val="21"/>
          <w:highlight w:val="none"/>
        </w:rPr>
        <w:t>、《财政部 司法部关于政府采购支持监狱企业发展有关问题的通知》（财库〔2014〕68 号）和《三部门联合发布关于促进残疾人就业政府采购政策的通知》（财库〔2017〕141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%后参与评审。具体详见第五章 评审办法。</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29.4依据财政部、发展改革委、生态环境部等部门发布的品目清单和国家确定的认证机构出具的、处于有效期之内的节能产品、环境标志产品认证证书实施政府优先采购。具体优先采购办法详见第五章 评审办法。</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29.5根据财政部、辽宁省财政厅相关规定，对于列入《辽宁省创新产品和服务目录》内的产品、服务实施政府优先采购，具体优先采购办法详见第五章 评审办法。</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★30.终止本次磋商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出现下列情形之一的，采购人或采购代理机构应当终止本次竞争性磋商。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（1）因情况变化，不再符合规定的竞争性磋商采购方式适用情形的；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（2）出现影响采购公正的违法、违规行为的；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（3）除本须知27.2条规定的情形外，在采购过程中符合要求的供应商或者报价未超过采购预算或最高限价的供应商不足3家的。</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（4）因重大变故，采购任务取消的。</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31.成交候选供应商的确定原则及标准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31.1除第34条规定外，磋商结束后，除了算数修正和落实政府采购政策需进行的价格扣除外，不对供应商的响应价格进行任何调整。评审结果按照得分由高至低的顺序排序。具体处理办法详见 第五章 评审方法。</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31.2磋商小组将按供应商须知表31.2条中规定的数量推荐成交候选供应商。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31.3因推荐成交候选供应商名单产生其他问题，由磋商小组集体研究处理。</w:t>
      </w:r>
    </w:p>
    <w:p>
      <w:pPr>
        <w:adjustRightInd w:val="0"/>
        <w:snapToGrid w:val="0"/>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★32.保密原则</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32.1评审将在严格保密的情况下进行。</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32.2有关人员应当遵守评审工作纪律，不得泄露评审文件、评审情况和评审过程中获悉的国家秘密、商业秘密。</w:t>
      </w: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ascii="宋体" w:hAnsi="宋体" w:eastAsia="宋体" w:cs="宋体"/>
          <w:color w:val="auto"/>
          <w:szCs w:val="21"/>
          <w:highlight w:val="none"/>
        </w:rPr>
      </w:pPr>
    </w:p>
    <w:p>
      <w:pPr>
        <w:pStyle w:val="2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3"/>
        <w:rPr>
          <w:rFonts w:hint="eastAsia"/>
          <w:highlight w:val="none"/>
        </w:rPr>
      </w:pPr>
    </w:p>
    <w:p>
      <w:pPr>
        <w:pStyle w:val="7"/>
        <w:adjustRightInd w:val="0"/>
        <w:snapToGrid w:val="0"/>
        <w:spacing w:before="156" w:beforeLines="50" w:after="0" w:line="360" w:lineRule="auto"/>
        <w:jc w:val="center"/>
        <w:rPr>
          <w:rFonts w:hint="eastAsia" w:ascii="宋体" w:hAnsi="宋体" w:eastAsia="宋体" w:cs="宋体"/>
          <w:color w:val="auto"/>
          <w:highlight w:val="none"/>
        </w:rPr>
      </w:pPr>
      <w:bookmarkStart w:id="30" w:name="_Toc533340145"/>
      <w:bookmarkStart w:id="31" w:name="_Toc4485624"/>
      <w:r>
        <w:rPr>
          <w:rFonts w:hint="eastAsia" w:ascii="宋体" w:hAnsi="宋体" w:eastAsia="宋体" w:cs="宋体"/>
          <w:color w:val="auto"/>
          <w:highlight w:val="none"/>
        </w:rPr>
        <w:t>七 确定成交</w:t>
      </w:r>
      <w:bookmarkEnd w:id="30"/>
      <w:bookmarkEnd w:id="31"/>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33.确定成交供应商</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人在收到评审报告5个工作日内,从评审报告提出的成交候选供应商中,根据质量和服务均能满足采购文件实质性响应要求且综合得分最高的原则确定成交供应商,也可以书面授权磋商小组直接确定成交供应商。本项目成交供应商确定方式详见供应商须知表33条。</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★34.采购任务取消</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因重大变故采购任务取消时，采购人有权拒绝任何供应商成交，且对受影响的供应商不承担任何责任。</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35.成交通知书</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35.1采购人或者采购代理机构应当在成交供应商确定之日起2个工作日内，在辽宁政府采购网及其地方分网媒体上公告成交结果，同时向成交供应商发出成交通知书。</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35.2成交通知书是合同的组成部分。</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★36.签订合同</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 成交供应商应当自发出成交通知书之日起 30 日内，按照采购文件确定的事项签订政府采购合同。</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36.2除不可抗力等因素外，成交通知书发出后，采购人改变成交结果，或者成交供应商拒绝签订政府采购合同的，应当承担相应的法律责任。</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实质性内容的协议。</w:t>
      </w:r>
    </w:p>
    <w:p>
      <w:pPr>
        <w:adjustRightInd w:val="0"/>
        <w:snapToGrid w:val="0"/>
        <w:spacing w:line="360" w:lineRule="auto"/>
        <w:rPr>
          <w:rFonts w:hint="eastAsia" w:ascii="宋体" w:hAnsi="宋体" w:eastAsia="宋体" w:cs="宋体"/>
          <w:color w:val="auto"/>
          <w:kern w:val="0"/>
          <w:sz w:val="22"/>
          <w:highlight w:val="none"/>
        </w:rPr>
      </w:pPr>
      <w:r>
        <w:rPr>
          <w:rFonts w:hint="eastAsia" w:ascii="宋体" w:hAnsi="宋体" w:eastAsia="宋体" w:cs="宋体"/>
          <w:color w:val="auto"/>
          <w:szCs w:val="21"/>
          <w:highlight w:val="none"/>
        </w:rPr>
        <w:t>36.4 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hint="eastAsia" w:ascii="宋体" w:hAnsi="宋体" w:eastAsia="宋体" w:cs="宋体"/>
          <w:color w:val="auto"/>
          <w:kern w:val="0"/>
          <w:sz w:val="22"/>
          <w:highlight w:val="none"/>
        </w:rPr>
        <w:t>。</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★37.履约保证金</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37.1成交供应商应按照供应商须知表37.1条规定向采购人缴纳履约保证金。</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★38.采购代理服务费</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成交供应商须按照供应商须知表38条规定，向采购代理机构支付采购代理服务费。</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39.廉洁自律规定</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39.1采购代理机构工作人员不得以不正当手段获取政府采购代理业务，不得与采购人、供应商恶意串通操纵政府采购活动。</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39.2采购代理机构工作人员不得接受采购人或者供应商组织的宴请、旅游、娱乐，不得收受礼品、现金、有价证券等。</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40.人员回避</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供应商认为采购人及其相关人员有法律法规所列与其他供应商有利害关系的，可以向采购人或采购代理机构书面提出回避申请，并说明理由。</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41.质疑与接收</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41.2质疑供应商应按照财政部门制定的《政府采购质疑函范本》格式（详见辽宁政府采购网）和《政府采购质疑和投诉办法》的要求，在法定质疑期内以纸质形式提出质疑，针对同一采购程序环节的质疑应一次性提出。</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超出法定质疑期的、重复提出的、分次提出的或内容、形式不符合《政府采购质疑和投诉办法》的，质疑供应商将依法承担不利后果。</w:t>
      </w:r>
    </w:p>
    <w:p>
      <w:pPr>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41.3采购代理机构质疑函接收部门、联系电话和通讯地址, 见供应商须知表41.3条。</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42.履约验收</w:t>
      </w:r>
    </w:p>
    <w:p>
      <w:pPr>
        <w:adjustRightInd w:val="0"/>
        <w:snapToGrid w:val="0"/>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本项目采购人及其委托的采购代理机构将严格按照政府采购相关法律法规以及《辽宁省政府采购履约验收管理办法》（辽财采〔2017〕603号）的要求进行验收。</w:t>
      </w:r>
    </w:p>
    <w:p>
      <w:pPr>
        <w:adjustRightInd w:val="0"/>
        <w:snapToGrid w:val="0"/>
        <w:spacing w:line="360" w:lineRule="auto"/>
        <w:jc w:val="center"/>
        <w:rPr>
          <w:rFonts w:hint="eastAsia" w:ascii="宋体" w:hAnsi="宋体" w:eastAsia="宋体" w:cs="宋体"/>
          <w:b/>
          <w:color w:val="auto"/>
          <w:sz w:val="32"/>
          <w:szCs w:val="32"/>
          <w:highlight w:val="none"/>
        </w:rPr>
      </w:pPr>
      <w:bookmarkStart w:id="32" w:name="_Toc4485625"/>
    </w:p>
    <w:p>
      <w:pPr>
        <w:pStyle w:val="3"/>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3"/>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3"/>
        <w:rPr>
          <w:rFonts w:hint="eastAsia" w:ascii="宋体" w:hAnsi="宋体" w:eastAsia="宋体" w:cs="宋体"/>
          <w:b/>
          <w:color w:val="auto"/>
          <w:sz w:val="32"/>
          <w:szCs w:val="32"/>
          <w:highlight w:val="none"/>
        </w:rPr>
      </w:pPr>
    </w:p>
    <w:p>
      <w:pPr>
        <w:pStyle w:val="26"/>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3"/>
        <w:rPr>
          <w:rFonts w:hint="eastAsia"/>
          <w:highlight w:val="none"/>
        </w:rPr>
      </w:pPr>
    </w:p>
    <w:p>
      <w:pPr>
        <w:pStyle w:val="26"/>
        <w:rPr>
          <w:rFonts w:hint="eastAsia" w:ascii="宋体" w:hAnsi="宋体" w:eastAsia="宋体" w:cs="宋体"/>
          <w:b/>
          <w:color w:val="auto"/>
          <w:sz w:val="32"/>
          <w:szCs w:val="32"/>
          <w:highlight w:val="none"/>
        </w:rPr>
      </w:pPr>
    </w:p>
    <w:p>
      <w:pPr>
        <w:rPr>
          <w:rFonts w:hint="eastAsia"/>
          <w:highlight w:val="none"/>
        </w:rPr>
      </w:pPr>
    </w:p>
    <w:p>
      <w:pPr>
        <w:adjustRightInd w:val="0"/>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八 其他</w:t>
      </w:r>
    </w:p>
    <w:p>
      <w:pPr>
        <w:adjustRightInd w:val="0"/>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43.</w:t>
      </w:r>
      <w:r>
        <w:rPr>
          <w:rFonts w:hint="eastAsia" w:ascii="宋体" w:hAnsi="宋体" w:eastAsia="宋体" w:cs="宋体"/>
          <w:b/>
          <w:color w:val="auto"/>
          <w:szCs w:val="21"/>
          <w:highlight w:val="none"/>
        </w:rPr>
        <w:t>需要补充的其他内容</w:t>
      </w:r>
    </w:p>
    <w:p>
      <w:pPr>
        <w:pStyle w:val="3"/>
        <w:spacing w:before="139"/>
        <w:ind w:left="760"/>
        <w:jc w:val="left"/>
        <w:rPr>
          <w:color w:val="auto"/>
          <w:highlight w:val="none"/>
        </w:rPr>
        <w:sectPr>
          <w:headerReference r:id="rId5" w:type="default"/>
          <w:footerReference r:id="rId6" w:type="default"/>
          <w:pgSz w:w="11910" w:h="16840"/>
          <w:pgMar w:top="1440" w:right="1633" w:bottom="1440" w:left="1803" w:header="602" w:footer="805" w:gutter="0"/>
          <w:pgNumType w:fmt="decimal"/>
          <w:cols w:space="720" w:num="1"/>
          <w:rtlGutter w:val="0"/>
          <w:docGrid w:linePitch="0" w:charSpace="0"/>
        </w:sectPr>
      </w:pPr>
      <w:r>
        <w:rPr>
          <w:color w:val="auto"/>
          <w:highlight w:val="none"/>
        </w:rPr>
        <w:t>需要补充的其他内容：见</w:t>
      </w:r>
      <w:r>
        <w:rPr>
          <w:rFonts w:hint="eastAsia"/>
          <w:color w:val="auto"/>
          <w:highlight w:val="none"/>
          <w:lang w:val="en-US" w:eastAsia="zh-CN"/>
        </w:rPr>
        <w:t>供应商</w:t>
      </w:r>
      <w:r>
        <w:rPr>
          <w:color w:val="auto"/>
          <w:highlight w:val="none"/>
        </w:rPr>
        <w:t>须知表。</w:t>
      </w:r>
    </w:p>
    <w:p>
      <w:pPr>
        <w:pStyle w:val="6"/>
        <w:adjustRightInd w:val="0"/>
        <w:snapToGrid w:val="0"/>
        <w:spacing w:before="0" w:after="0" w:line="240" w:lineRule="auto"/>
        <w:jc w:val="center"/>
        <w:rPr>
          <w:rFonts w:hint="eastAsia" w:ascii="宋体" w:hAnsi="宋体" w:eastAsia="宋体" w:cs="宋体"/>
          <w:color w:val="auto"/>
          <w:highlight w:val="none"/>
        </w:rPr>
      </w:pPr>
      <w:bookmarkStart w:id="33" w:name="_Toc7921"/>
      <w:r>
        <w:rPr>
          <w:rFonts w:hint="eastAsia" w:ascii="宋体" w:hAnsi="宋体" w:eastAsia="宋体" w:cs="宋体"/>
          <w:color w:val="auto"/>
          <w:highlight w:val="none"/>
        </w:rPr>
        <w:t>第二章 响应文件内容及格式</w:t>
      </w:r>
      <w:bookmarkEnd w:id="32"/>
      <w:bookmarkEnd w:id="33"/>
    </w:p>
    <w:p>
      <w:pPr>
        <w:snapToGrid w:val="0"/>
        <w:spacing w:before="159" w:beforeLines="50" w:after="159" w:afterLines="50"/>
        <w:ind w:firstLine="482" w:firstLineChars="200"/>
        <w:rPr>
          <w:rFonts w:hint="eastAsia" w:ascii="宋体" w:hAnsi="宋体" w:eastAsia="宋体" w:cs="宋体"/>
          <w:color w:val="auto"/>
          <w:highlight w:val="none"/>
        </w:rPr>
      </w:pPr>
      <w:bookmarkStart w:id="34" w:name="投标文件内容及格式：Block"/>
      <w:bookmarkEnd w:id="34"/>
      <w:bookmarkStart w:id="35" w:name="sys_投标文件内容及格式：Block"/>
      <w:bookmarkEnd w:id="35"/>
      <w:r>
        <w:rPr>
          <w:rFonts w:hint="eastAsia" w:ascii="宋体" w:hAnsi="宋体" w:eastAsia="宋体" w:cs="宋体"/>
          <w:b/>
          <w:color w:val="auto"/>
          <w:sz w:val="24"/>
          <w:highlight w:val="none"/>
        </w:rPr>
        <w:t>一、响应文件、电子文档的外封面、封口、封皮及目录</w:t>
      </w:r>
    </w:p>
    <w:tbl>
      <w:tblPr>
        <w:tblStyle w:val="40"/>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892"/>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689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w:t>
            </w:r>
          </w:p>
        </w:tc>
        <w:tc>
          <w:tcPr>
            <w:tcW w:w="88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677"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892" w:type="dxa"/>
            <w:noWrap w:val="0"/>
            <w:vAlign w:val="center"/>
          </w:tcPr>
          <w:p>
            <w:pPr>
              <w:keepNext w:val="0"/>
              <w:keepLines w:val="0"/>
              <w:suppressLineNumbers w:val="0"/>
              <w:snapToGrid w:val="0"/>
              <w:spacing w:before="0" w:beforeAutospacing="0" w:after="0" w:afterAutospacing="0" w:line="36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响应文件的外封面及封口</w:t>
            </w:r>
          </w:p>
        </w:tc>
        <w:tc>
          <w:tcPr>
            <w:tcW w:w="88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892" w:type="dxa"/>
            <w:noWrap w:val="0"/>
            <w:vAlign w:val="center"/>
          </w:tcPr>
          <w:p>
            <w:pPr>
              <w:keepNext w:val="0"/>
              <w:keepLines w:val="0"/>
              <w:suppressLineNumbers w:val="0"/>
              <w:snapToGrid w:val="0"/>
              <w:spacing w:before="0" w:beforeAutospacing="0" w:after="0" w:afterAutospacing="0" w:line="36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响应文件的封皮</w:t>
            </w:r>
          </w:p>
        </w:tc>
        <w:tc>
          <w:tcPr>
            <w:tcW w:w="88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67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892" w:type="dxa"/>
            <w:noWrap w:val="0"/>
            <w:vAlign w:val="center"/>
          </w:tcPr>
          <w:p>
            <w:pPr>
              <w:keepNext w:val="0"/>
              <w:keepLines w:val="0"/>
              <w:suppressLineNumbers w:val="0"/>
              <w:snapToGrid w:val="0"/>
              <w:spacing w:before="0" w:beforeAutospacing="0" w:after="0" w:afterAutospacing="0" w:line="360" w:lineRule="exact"/>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响应文件的目录</w:t>
            </w:r>
          </w:p>
        </w:tc>
        <w:tc>
          <w:tcPr>
            <w:tcW w:w="88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r>
    </w:tbl>
    <w:p>
      <w:pPr>
        <w:snapToGrid w:val="0"/>
        <w:spacing w:before="159" w:beforeLines="50" w:after="159" w:afterLines="50"/>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二、资格证明材料（有一项不符合要求，不能进入下一阶段评审）</w:t>
      </w:r>
    </w:p>
    <w:tbl>
      <w:tblPr>
        <w:tblStyle w:val="40"/>
        <w:tblW w:w="8459" w:type="dxa"/>
        <w:jc w:val="center"/>
        <w:tblLayout w:type="fixed"/>
        <w:tblCellMar>
          <w:top w:w="0" w:type="dxa"/>
          <w:left w:w="0" w:type="dxa"/>
          <w:bottom w:w="0" w:type="dxa"/>
          <w:right w:w="0" w:type="dxa"/>
        </w:tblCellMar>
      </w:tblPr>
      <w:tblGrid>
        <w:gridCol w:w="667"/>
        <w:gridCol w:w="6936"/>
        <w:gridCol w:w="856"/>
      </w:tblGrid>
      <w:tr>
        <w:tblPrEx>
          <w:tblCellMar>
            <w:top w:w="0" w:type="dxa"/>
            <w:left w:w="0" w:type="dxa"/>
            <w:bottom w:w="0" w:type="dxa"/>
            <w:right w:w="0" w:type="dxa"/>
          </w:tblCellMar>
        </w:tblPrEx>
        <w:trPr>
          <w:trHeight w:val="335" w:hRule="atLeast"/>
          <w:tblHeader/>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bookmarkStart w:id="36" w:name="资格性证明材料：Document"/>
            <w:bookmarkStart w:id="37" w:name="sys_资格性证明材料：Document"/>
            <w:r>
              <w:rPr>
                <w:rFonts w:hint="eastAsia" w:ascii="宋体" w:hAnsi="宋体" w:eastAsia="宋体" w:cs="宋体"/>
                <w:color w:val="auto"/>
                <w:szCs w:val="21"/>
                <w:highlight w:val="none"/>
              </w:rPr>
              <w:t>序号</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资格证明材料</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格式</w:t>
            </w:r>
          </w:p>
        </w:tc>
      </w:tr>
      <w:tr>
        <w:tblPrEx>
          <w:tblCellMar>
            <w:top w:w="0" w:type="dxa"/>
            <w:left w:w="0" w:type="dxa"/>
            <w:bottom w:w="0" w:type="dxa"/>
            <w:right w:w="0" w:type="dxa"/>
          </w:tblCellMar>
        </w:tblPrEx>
        <w:trPr>
          <w:trHeight w:val="859"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营业执照或事业单位法人证书或执业许可证等证明文件复印件或自然人的身份证明复印件（自然人身份证明仅在自然人作为响应主体时适用）</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组织机构代码证复印件（三证合一的不需提供）</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税务登记证复印件（三证合一的不需提供）</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法定代表人（或非法人组织负责人）身份证明书（自然人参加磋商的无需提供）</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r>
      <w:tr>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法定代表人（或非法人组织负责人）授权委托书（授权委托人参加磋商的须提供）</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r>
      <w:tr>
        <w:tblPrEx>
          <w:tblCellMar>
            <w:top w:w="0" w:type="dxa"/>
            <w:left w:w="0" w:type="dxa"/>
            <w:bottom w:w="0" w:type="dxa"/>
            <w:right w:w="0" w:type="dxa"/>
          </w:tblCellMar>
        </w:tblPrEx>
        <w:trPr>
          <w:trHeight w:val="590"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widowControl/>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具有良好的商业信誉和健全的财务会计制度的承诺函</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r>
      <w:tr>
        <w:tblPrEx>
          <w:tblCellMar>
            <w:top w:w="0" w:type="dxa"/>
            <w:left w:w="0" w:type="dxa"/>
            <w:bottom w:w="0" w:type="dxa"/>
            <w:right w:w="0" w:type="dxa"/>
          </w:tblCellMar>
        </w:tblPrEx>
        <w:trPr>
          <w:trHeight w:val="1125"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磋商会议时间前六个月内任一个月的依法缴纳税收的缴款凭据复印件）</w:t>
            </w: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（注：依法免税的供应商，应提供相关证明材料，包括相关法规要求原文及加盖公章的情况说明）</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1393"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磋商会议时间前六个月内任一个月的依法缴纳社会保障资金的缴款凭据复印件</w:t>
            </w: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（注：依法不需要缴纳社会保障资金的供应商，应提供相关证明材料，包括相关法规要求原文及加盖公章的情况说明）</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578"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具备履行合同所必需的设备和专业技术能力声明函</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r>
      <w:tr>
        <w:tblPrEx>
          <w:tblCellMar>
            <w:top w:w="0" w:type="dxa"/>
            <w:left w:w="0" w:type="dxa"/>
            <w:bottom w:w="0" w:type="dxa"/>
            <w:right w:w="0" w:type="dxa"/>
          </w:tblCellMar>
        </w:tblPrEx>
        <w:trPr>
          <w:trHeight w:val="593"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参加政府采购活动前3年内在经营活动中没有重大违法记录的书面声明</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r>
      <w:tr>
        <w:tblPrEx>
          <w:tblCellMar>
            <w:top w:w="0" w:type="dxa"/>
            <w:left w:w="0" w:type="dxa"/>
            <w:bottom w:w="0" w:type="dxa"/>
            <w:right w:w="0" w:type="dxa"/>
          </w:tblCellMar>
        </w:tblPrEx>
        <w:trPr>
          <w:trHeight w:val="689"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其它资格证明文件</w:t>
            </w:r>
            <w:r>
              <w:rPr>
                <w:rFonts w:hint="eastAsia" w:ascii="宋体" w:hAnsi="宋体" w:cs="宋体"/>
                <w:color w:val="auto"/>
                <w:szCs w:val="21"/>
                <w:highlight w:val="none"/>
                <w:lang w:eastAsia="zh-CN"/>
              </w:rPr>
              <w:t>：市政公用工程施工总承包三级（含）以上或城市及道路照明专业承包三级（含）以上的施工企业资质，有效的安全生产许可证。拟投入本项目的项目负责人须具备与本项目相关专业国家注册建造师贰级及以上资格证书</w:t>
            </w:r>
            <w:r>
              <w:rPr>
                <w:rFonts w:hint="eastAsia" w:ascii="宋体" w:hAnsi="宋体" w:cs="宋体"/>
                <w:color w:val="auto"/>
                <w:szCs w:val="21"/>
                <w:highlight w:val="none"/>
                <w:lang w:val="en-US" w:eastAsia="zh-CN"/>
              </w:rPr>
              <w:t>、建造师安全考核合格证、无在建工程承诺书</w:t>
            </w:r>
            <w:bookmarkStart w:id="884" w:name="_GoBack"/>
            <w:bookmarkEnd w:id="884"/>
            <w:r>
              <w:rPr>
                <w:rFonts w:hint="eastAsia" w:ascii="宋体" w:hAnsi="宋体" w:cs="宋体"/>
                <w:color w:val="auto"/>
                <w:szCs w:val="21"/>
                <w:highlight w:val="none"/>
                <w:lang w:eastAsia="zh-CN"/>
              </w:rPr>
              <w:t>。</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648"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信用记录（供应商按采购文件要求自行查询，并将截图附在响应文件中）</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p>
        </w:tc>
      </w:tr>
      <w:tr>
        <w:tblPrEx>
          <w:tblCellMar>
            <w:top w:w="0" w:type="dxa"/>
            <w:left w:w="0" w:type="dxa"/>
            <w:bottom w:w="0" w:type="dxa"/>
            <w:right w:w="0" w:type="dxa"/>
          </w:tblCellMar>
        </w:tblPrEx>
        <w:trPr>
          <w:trHeight w:val="648"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693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中小企业声明函</w:t>
            </w:r>
          </w:p>
        </w:tc>
        <w:tc>
          <w:tcPr>
            <w:tcW w:w="85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r>
    </w:tbl>
    <w:p>
      <w:pPr>
        <w:snapToGrid w:val="0"/>
        <w:spacing w:before="159" w:beforeLines="50" w:after="159" w:afterLines="50"/>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三、符合性证明材料（有一项不符合要求，不能进入下一阶段评审）</w:t>
      </w:r>
    </w:p>
    <w:bookmarkEnd w:id="36"/>
    <w:bookmarkEnd w:id="37"/>
    <w:tbl>
      <w:tblPr>
        <w:tblStyle w:val="40"/>
        <w:tblW w:w="8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6880"/>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65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688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符合性证明材料</w:t>
            </w:r>
          </w:p>
        </w:tc>
        <w:tc>
          <w:tcPr>
            <w:tcW w:w="84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880"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响应函</w:t>
            </w:r>
          </w:p>
        </w:tc>
        <w:tc>
          <w:tcPr>
            <w:tcW w:w="84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6880"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报价一览表</w:t>
            </w:r>
          </w:p>
        </w:tc>
        <w:tc>
          <w:tcPr>
            <w:tcW w:w="84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6880"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已标价工程量清单</w:t>
            </w:r>
          </w:p>
        </w:tc>
        <w:tc>
          <w:tcPr>
            <w:tcW w:w="84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6880"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商务条款偏离表</w:t>
            </w:r>
          </w:p>
        </w:tc>
        <w:tc>
          <w:tcPr>
            <w:tcW w:w="84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6880"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供应商关联单位说明</w:t>
            </w:r>
          </w:p>
        </w:tc>
        <w:tc>
          <w:tcPr>
            <w:tcW w:w="84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5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p>
        </w:tc>
        <w:tc>
          <w:tcPr>
            <w:tcW w:w="6880" w:type="dxa"/>
            <w:noWrap w:val="0"/>
            <w:vAlign w:val="center"/>
          </w:tcPr>
          <w:p>
            <w:pPr>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其他符合证明文件</w:t>
            </w:r>
          </w:p>
        </w:tc>
        <w:tc>
          <w:tcPr>
            <w:tcW w:w="845" w:type="dxa"/>
            <w:noWrap w:val="0"/>
            <w:vAlign w:val="center"/>
          </w:tcPr>
          <w:p>
            <w:pPr>
              <w:keepNext w:val="0"/>
              <w:keepLines w:val="0"/>
              <w:suppressLineNumbers w:val="0"/>
              <w:tabs>
                <w:tab w:val="left" w:pos="495"/>
              </w:tabs>
              <w:adjustRightInd w:val="0"/>
              <w:snapToGrid w:val="0"/>
              <w:spacing w:before="0" w:beforeAutospacing="0" w:after="0" w:afterAutospacing="0"/>
              <w:ind w:left="0" w:right="0"/>
              <w:jc w:val="center"/>
              <w:rPr>
                <w:rFonts w:hint="default" w:ascii="宋体" w:hAnsi="宋体" w:cs="宋体"/>
                <w:color w:val="auto"/>
                <w:kern w:val="0"/>
                <w:szCs w:val="21"/>
                <w:highlight w:val="none"/>
                <w:lang w:val="en-US" w:eastAsia="zh-CN"/>
              </w:rPr>
            </w:pPr>
          </w:p>
        </w:tc>
      </w:tr>
    </w:tbl>
    <w:p>
      <w:pPr>
        <w:snapToGrid w:val="0"/>
        <w:spacing w:before="159" w:beforeLines="50" w:after="159" w:afterLines="50"/>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四、其他材料（如有，请提供；如未提供，响应文件不作无效处理）</w:t>
      </w:r>
    </w:p>
    <w:tbl>
      <w:tblPr>
        <w:tblStyle w:val="40"/>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6886"/>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6886"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其他材料</w:t>
            </w:r>
          </w:p>
        </w:tc>
        <w:tc>
          <w:tcPr>
            <w:tcW w:w="85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6886" w:type="dxa"/>
            <w:noWrap w:val="0"/>
            <w:vAlign w:val="center"/>
          </w:tcPr>
          <w:p>
            <w:pPr>
              <w:keepNext w:val="0"/>
              <w:keepLines w:val="0"/>
              <w:suppressLineNumbers w:val="0"/>
              <w:adjustRightInd w:val="0"/>
              <w:snapToGrid w:val="0"/>
              <w:spacing w:before="0" w:beforeAutospacing="0" w:after="0" w:afterAutospacing="0"/>
              <w:ind w:left="25" w:leftChars="12" w:right="0" w:righ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监狱企业证明文件</w:t>
            </w:r>
          </w:p>
        </w:tc>
        <w:tc>
          <w:tcPr>
            <w:tcW w:w="855"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6886" w:type="dxa"/>
            <w:noWrap w:val="0"/>
            <w:vAlign w:val="center"/>
          </w:tcPr>
          <w:p>
            <w:pPr>
              <w:keepNext w:val="0"/>
              <w:keepLines w:val="0"/>
              <w:suppressLineNumbers w:val="0"/>
              <w:adjustRightInd w:val="0"/>
              <w:snapToGrid w:val="0"/>
              <w:spacing w:before="0" w:beforeAutospacing="0" w:after="0" w:afterAutospacing="0"/>
              <w:ind w:left="25" w:leftChars="12"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残疾人福利性单位声明函</w:t>
            </w:r>
          </w:p>
        </w:tc>
        <w:tc>
          <w:tcPr>
            <w:tcW w:w="855"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6886" w:type="dxa"/>
            <w:noWrap w:val="0"/>
            <w:vAlign w:val="center"/>
          </w:tcPr>
          <w:p>
            <w:pPr>
              <w:keepNext w:val="0"/>
              <w:keepLines w:val="0"/>
              <w:suppressLineNumbers w:val="0"/>
              <w:adjustRightInd w:val="0"/>
              <w:snapToGrid w:val="0"/>
              <w:spacing w:before="0" w:beforeAutospacing="0" w:after="0" w:afterAutospacing="0"/>
              <w:ind w:left="25" w:leftChars="12" w:right="0" w:righ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财务审计报告（2019年-2021年）</w:t>
            </w:r>
          </w:p>
        </w:tc>
        <w:tc>
          <w:tcPr>
            <w:tcW w:w="855"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6886" w:type="dxa"/>
            <w:noWrap w:val="0"/>
            <w:vAlign w:val="center"/>
          </w:tcPr>
          <w:p>
            <w:pPr>
              <w:keepNext w:val="0"/>
              <w:keepLines w:val="0"/>
              <w:suppressLineNumbers w:val="0"/>
              <w:adjustRightInd w:val="0"/>
              <w:snapToGrid w:val="0"/>
              <w:spacing w:before="0" w:beforeAutospacing="0" w:after="0" w:afterAutospacing="0"/>
              <w:ind w:left="25" w:leftChars="12"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项目管理机构</w:t>
            </w:r>
          </w:p>
        </w:tc>
        <w:tc>
          <w:tcPr>
            <w:tcW w:w="855"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6886" w:type="dxa"/>
            <w:noWrap w:val="0"/>
            <w:vAlign w:val="center"/>
          </w:tcPr>
          <w:p>
            <w:pPr>
              <w:keepNext w:val="0"/>
              <w:keepLines w:val="0"/>
              <w:suppressLineNumbers w:val="0"/>
              <w:adjustRightInd w:val="0"/>
              <w:snapToGrid w:val="0"/>
              <w:spacing w:before="0" w:beforeAutospacing="0" w:after="0" w:afterAutospacing="0"/>
              <w:ind w:left="25" w:leftChars="12" w:right="0" w:rightChars="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近三年完成的类似项目情况表</w:t>
            </w:r>
          </w:p>
        </w:tc>
        <w:tc>
          <w:tcPr>
            <w:tcW w:w="855"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rPr>
              <w:t>6</w:t>
            </w:r>
          </w:p>
        </w:tc>
        <w:tc>
          <w:tcPr>
            <w:tcW w:w="6886" w:type="dxa"/>
            <w:noWrap w:val="0"/>
            <w:vAlign w:val="center"/>
          </w:tcPr>
          <w:p>
            <w:pPr>
              <w:keepNext w:val="0"/>
              <w:keepLines w:val="0"/>
              <w:suppressLineNumbers w:val="0"/>
              <w:adjustRightInd w:val="0"/>
              <w:snapToGrid w:val="0"/>
              <w:spacing w:before="0" w:beforeAutospacing="0" w:after="0" w:afterAutospacing="0"/>
              <w:ind w:left="25" w:leftChars="12"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Cs w:val="21"/>
                <w:highlight w:val="none"/>
              </w:rPr>
              <w:t>施工组织方案</w:t>
            </w:r>
          </w:p>
        </w:tc>
        <w:tc>
          <w:tcPr>
            <w:tcW w:w="855" w:type="dxa"/>
            <w:noWrap w:val="0"/>
            <w:vAlign w:val="center"/>
          </w:tcPr>
          <w:p>
            <w:pPr>
              <w:keepNext w:val="0"/>
              <w:keepLines w:val="0"/>
              <w:suppressLineNumbers w:val="0"/>
              <w:spacing w:before="0" w:beforeAutospacing="0" w:after="0" w:afterAutospacing="0"/>
              <w:ind w:left="0" w:leftChars="0" w:right="0" w:rightChars="0" w:firstLine="210" w:firstLineChars="100"/>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678"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7</w:t>
            </w:r>
          </w:p>
        </w:tc>
        <w:tc>
          <w:tcPr>
            <w:tcW w:w="6886" w:type="dxa"/>
            <w:noWrap w:val="0"/>
            <w:vAlign w:val="center"/>
          </w:tcPr>
          <w:p>
            <w:pPr>
              <w:keepNext w:val="0"/>
              <w:keepLines w:val="0"/>
              <w:suppressLineNumbers w:val="0"/>
              <w:adjustRightInd w:val="0"/>
              <w:snapToGrid w:val="0"/>
              <w:spacing w:before="0" w:beforeAutospacing="0" w:after="0" w:afterAutospacing="0"/>
              <w:ind w:left="25" w:leftChars="12"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采购文件要求的以及供应商认为有必要且能证明响应评分细则中各项要求的其它资料（综合评分法）</w:t>
            </w:r>
          </w:p>
        </w:tc>
        <w:tc>
          <w:tcPr>
            <w:tcW w:w="855" w:type="dxa"/>
            <w:noWrap w:val="0"/>
            <w:vAlign w:val="center"/>
          </w:tcPr>
          <w:p>
            <w:pPr>
              <w:keepNext w:val="0"/>
              <w:keepLines w:val="0"/>
              <w:suppressLineNumbers w:val="0"/>
              <w:adjustRightInd w:val="0"/>
              <w:snapToGrid w:val="0"/>
              <w:spacing w:before="0" w:beforeAutospacing="0" w:after="0" w:afterAutospacing="0"/>
              <w:ind w:left="25" w:leftChars="12" w:right="0" w:rightChars="0"/>
              <w:jc w:val="center"/>
              <w:rPr>
                <w:rFonts w:hint="default" w:ascii="宋体" w:hAnsi="宋体" w:eastAsia="宋体" w:cs="宋体"/>
                <w:color w:val="auto"/>
                <w:kern w:val="0"/>
                <w:sz w:val="21"/>
                <w:szCs w:val="21"/>
                <w:highlight w:val="none"/>
                <w:lang w:val="en-US" w:eastAsia="zh-CN" w:bidi="ar-SA"/>
              </w:rPr>
            </w:pPr>
          </w:p>
        </w:tc>
      </w:tr>
    </w:tbl>
    <w:p>
      <w:pPr>
        <w:adjustRightInd w:val="0"/>
        <w:snapToGrid w:val="0"/>
        <w:spacing w:line="360" w:lineRule="auto"/>
        <w:ind w:firstLine="482" w:firstLineChars="200"/>
        <w:rPr>
          <w:rFonts w:hint="eastAsia" w:ascii="宋体" w:hAnsi="宋体" w:eastAsia="宋体" w:cs="宋体"/>
          <w:b/>
          <w:color w:val="auto"/>
          <w:sz w:val="24"/>
          <w:highlight w:val="none"/>
        </w:rPr>
      </w:pPr>
    </w:p>
    <w:p>
      <w:pPr>
        <w:pStyle w:val="76"/>
        <w:rPr>
          <w:rFonts w:hint="eastAsia"/>
          <w:color w:val="auto"/>
          <w:highlight w:val="none"/>
        </w:rPr>
      </w:pPr>
    </w:p>
    <w:p>
      <w:pPr>
        <w:adjustRightInd w:val="0"/>
        <w:snapToGrid w:val="0"/>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重要提示：</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1、供应商提供的证明材料，除需要供应商填报或有特殊说明外，均须按要求提供。</w:t>
      </w:r>
      <w:r>
        <w:rPr>
          <w:rFonts w:hint="eastAsia" w:ascii="宋体" w:hAnsi="宋体" w:eastAsia="宋体" w:cs="宋体"/>
          <w:b/>
          <w:bCs/>
          <w:color w:val="auto"/>
          <w:szCs w:val="21"/>
          <w:highlight w:val="none"/>
        </w:rPr>
        <w:t xml:space="preserve"> </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2、供应商在编制响应文件时，对于给定格式的文件内容，必须按照给定的标准格式进行填报；对于没有给定标准格式的文件内容，可以由供应商自行设计。</w:t>
      </w:r>
    </w:p>
    <w:p>
      <w:pPr>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3、响应文件应用中文书写。响应文件中所附或所引用的材料不是中文时，应附中文译本，并加盖单位公章（自然人参与政府采购活动的，无需加盖单位公章，需要签字）。</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4、“资格证明材料”所列内容即为采购项目的资格审查条件，有一项不符合要求，不能进入下一阶段评审。</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5、“符合性证明材料”所列内容即为采购项目的符合性审查条件，有一项不符合要求，不能进入下一阶段评审。</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6、“其他材料”为供应商就采购文件要求的以及供应商认为需要提供的相应材料。</w:t>
      </w:r>
    </w:p>
    <w:p>
      <w:pPr>
        <w:pStyle w:val="54"/>
        <w:rPr>
          <w:rFonts w:hint="eastAsia" w:ascii="宋体" w:hAnsi="宋体" w:eastAsia="宋体" w:cs="宋体"/>
          <w:color w:val="auto"/>
          <w:szCs w:val="21"/>
          <w:highlight w:val="none"/>
        </w:rPr>
      </w:pPr>
    </w:p>
    <w:p>
      <w:pPr>
        <w:pStyle w:val="54"/>
        <w:rPr>
          <w:rFonts w:hint="eastAsia" w:ascii="宋体" w:hAnsi="宋体" w:eastAsia="宋体" w:cs="宋体"/>
          <w:color w:val="auto"/>
          <w:szCs w:val="21"/>
          <w:highlight w:val="none"/>
        </w:rPr>
      </w:pPr>
    </w:p>
    <w:p>
      <w:pPr>
        <w:widowControl/>
        <w:jc w:val="left"/>
        <w:outlineLvl w:val="1"/>
        <w:rPr>
          <w:rFonts w:hint="eastAsia" w:ascii="宋体" w:hAnsi="宋体" w:eastAsia="宋体" w:cs="宋体"/>
          <w:b/>
          <w:bCs/>
          <w:color w:val="auto"/>
          <w:sz w:val="28"/>
          <w:szCs w:val="28"/>
          <w:highlight w:val="none"/>
        </w:rPr>
      </w:pPr>
      <w:bookmarkStart w:id="38" w:name="_Toc4485626"/>
      <w:bookmarkStart w:id="39" w:name="_Toc533340149"/>
      <w:r>
        <w:rPr>
          <w:rFonts w:hint="eastAsia" w:ascii="宋体" w:hAnsi="宋体" w:eastAsia="宋体" w:cs="宋体"/>
          <w:b/>
          <w:bCs/>
          <w:color w:val="auto"/>
          <w:sz w:val="28"/>
          <w:szCs w:val="28"/>
          <w:highlight w:val="none"/>
        </w:rPr>
        <w:t>格式1</w:t>
      </w:r>
      <w:bookmarkEnd w:id="38"/>
      <w:bookmarkEnd w:id="39"/>
    </w:p>
    <w:p>
      <w:pPr>
        <w:jc w:val="cente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响应文件</w:t>
      </w:r>
      <w:r>
        <w:rPr>
          <w:rFonts w:hint="eastAsia" w:ascii="宋体" w:hAnsi="宋体" w:cs="宋体"/>
          <w:b/>
          <w:bCs/>
          <w:color w:val="auto"/>
          <w:sz w:val="32"/>
          <w:szCs w:val="32"/>
          <w:highlight w:val="none"/>
          <w:lang w:val="en-US" w:eastAsia="zh-CN"/>
        </w:rPr>
        <w:t>/</w:t>
      </w:r>
      <w:r>
        <w:rPr>
          <w:rFonts w:hint="eastAsia" w:ascii="宋体" w:hAnsi="宋体" w:cs="宋体"/>
          <w:b/>
          <w:bCs/>
          <w:color w:val="auto"/>
          <w:sz w:val="32"/>
          <w:szCs w:val="32"/>
          <w:highlight w:val="none"/>
          <w:lang w:eastAsia="zh-CN"/>
        </w:rPr>
        <w:t>备份文件</w:t>
      </w:r>
      <w:r>
        <w:rPr>
          <w:rFonts w:hint="eastAsia" w:ascii="宋体" w:hAnsi="宋体" w:eastAsia="宋体" w:cs="宋体"/>
          <w:b/>
          <w:bCs/>
          <w:color w:val="auto"/>
          <w:sz w:val="32"/>
          <w:szCs w:val="32"/>
          <w:highlight w:val="none"/>
        </w:rPr>
        <w:t>外封面、封口格式</w:t>
      </w:r>
    </w:p>
    <w:p>
      <w:pPr>
        <w:rPr>
          <w:rFonts w:hint="eastAsia" w:ascii="宋体" w:hAnsi="宋体" w:eastAsia="宋体" w:cs="宋体"/>
          <w:color w:val="auto"/>
          <w:highlight w:val="none"/>
        </w:rPr>
      </w:pPr>
      <w:r>
        <w:rPr>
          <w:rFonts w:hint="eastAsia" w:ascii="宋体" w:hAnsi="宋体" w:eastAsia="宋体" w:cs="宋体"/>
          <w:color w:val="auto"/>
          <w:sz w:val="28"/>
          <w:szCs w:val="28"/>
          <w:highlight w:val="none"/>
        </w:rPr>
        <w:t>封面格式：</w:t>
      </w:r>
    </w:p>
    <w:tbl>
      <w:tblPr>
        <w:tblStyle w:val="40"/>
        <w:tblW w:w="7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jc w:val="center"/>
        </w:trPr>
        <w:tc>
          <w:tcPr>
            <w:tcW w:w="7466"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b/>
                <w:bCs/>
                <w:color w:val="auto"/>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b/>
                <w:bCs/>
                <w:color w:val="auto"/>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b/>
                <w:bCs/>
                <w:color w:val="auto"/>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b/>
                <w:bCs/>
                <w:color w:val="auto"/>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b/>
                <w:bCs/>
                <w:color w:val="auto"/>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b/>
                <w:bCs/>
                <w:color w:val="auto"/>
                <w:highlight w:val="none"/>
              </w:rPr>
            </w:pPr>
            <w:r>
              <w:rPr>
                <w:rFonts w:hint="eastAsia" w:ascii="宋体" w:hAnsi="宋体" w:cs="宋体"/>
                <w:b/>
                <w:bCs/>
                <w:color w:val="auto"/>
                <w:sz w:val="44"/>
                <w:szCs w:val="52"/>
                <w:highlight w:val="none"/>
                <w:lang w:eastAsia="zh-CN"/>
              </w:rPr>
              <w:t>响应文件</w:t>
            </w:r>
            <w:r>
              <w:rPr>
                <w:rFonts w:hint="eastAsia" w:ascii="宋体" w:hAnsi="宋体" w:cs="宋体"/>
                <w:b/>
                <w:bCs/>
                <w:color w:val="auto"/>
                <w:sz w:val="44"/>
                <w:szCs w:val="52"/>
                <w:highlight w:val="none"/>
                <w:lang w:val="en-US" w:eastAsia="zh-CN"/>
              </w:rPr>
              <w:t>/</w:t>
            </w:r>
            <w:r>
              <w:rPr>
                <w:rFonts w:hint="eastAsia" w:ascii="宋体" w:hAnsi="宋体" w:cs="宋体"/>
                <w:b/>
                <w:bCs/>
                <w:color w:val="auto"/>
                <w:sz w:val="44"/>
                <w:szCs w:val="52"/>
                <w:highlight w:val="none"/>
                <w:lang w:eastAsia="zh-CN"/>
              </w:rPr>
              <w:t>备份</w:t>
            </w:r>
            <w:r>
              <w:rPr>
                <w:rFonts w:hint="eastAsia" w:ascii="宋体" w:hAnsi="宋体" w:eastAsia="宋体" w:cs="宋体"/>
                <w:b/>
                <w:bCs/>
                <w:color w:val="auto"/>
                <w:sz w:val="44"/>
                <w:szCs w:val="52"/>
                <w:highlight w:val="none"/>
              </w:rPr>
              <w:t>文件</w:t>
            </w:r>
          </w:p>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所响应包号：第  包</w:t>
            </w:r>
          </w:p>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项目名称：</w:t>
            </w:r>
          </w:p>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项目编号：</w:t>
            </w:r>
          </w:p>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p>
          <w:p>
            <w:pPr>
              <w:keepNext w:val="0"/>
              <w:keepLines w:val="0"/>
              <w:suppressLineNumbers w:val="0"/>
              <w:spacing w:before="0" w:beforeAutospacing="0" w:after="0" w:afterAutospacing="0"/>
              <w:ind w:left="0" w:right="0"/>
              <w:jc w:val="left"/>
              <w:rPr>
                <w:rFonts w:hint="eastAsia" w:ascii="宋体" w:hAnsi="宋体" w:eastAsia="宋体" w:cs="宋体"/>
                <w:color w:val="auto"/>
                <w:highlight w:val="none"/>
              </w:rPr>
            </w:pPr>
            <w:r>
              <w:rPr>
                <w:rFonts w:hint="eastAsia" w:ascii="宋体" w:hAnsi="宋体" w:eastAsia="宋体" w:cs="宋体"/>
                <w:color w:val="auto"/>
                <w:highlight w:val="none"/>
              </w:rPr>
              <w:t>供应商名称（加盖单位公章）：</w:t>
            </w: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sz w:val="24"/>
          <w:szCs w:val="32"/>
          <w:highlight w:val="none"/>
        </w:rPr>
        <w:t>封口格式：</w:t>
      </w:r>
    </w:p>
    <w:tbl>
      <w:tblPr>
        <w:tblStyle w:val="40"/>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5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——于   年  月  日   时之前不准启封（公章）——</w:t>
            </w:r>
          </w:p>
        </w:tc>
      </w:tr>
    </w:tbl>
    <w:p>
      <w:pPr>
        <w:outlineLvl w:val="1"/>
        <w:rPr>
          <w:rFonts w:hint="eastAsia" w:ascii="宋体" w:hAnsi="宋体" w:eastAsia="宋体" w:cs="宋体"/>
          <w:b/>
          <w:bCs/>
          <w:color w:val="auto"/>
          <w:sz w:val="28"/>
          <w:szCs w:val="28"/>
          <w:highlight w:val="none"/>
        </w:rPr>
      </w:pPr>
      <w:r>
        <w:rPr>
          <w:rFonts w:hint="eastAsia" w:ascii="宋体" w:hAnsi="宋体" w:eastAsia="宋体" w:cs="宋体"/>
          <w:color w:val="auto"/>
          <w:highlight w:val="none"/>
        </w:rPr>
        <w:br w:type="page"/>
      </w:r>
      <w:bookmarkStart w:id="40" w:name="_Toc4485627"/>
      <w:bookmarkStart w:id="41" w:name="_Toc533340150"/>
      <w:r>
        <w:rPr>
          <w:rFonts w:hint="eastAsia" w:ascii="宋体" w:hAnsi="宋体" w:eastAsia="宋体" w:cs="宋体"/>
          <w:b/>
          <w:bCs/>
          <w:color w:val="auto"/>
          <w:sz w:val="28"/>
          <w:szCs w:val="28"/>
          <w:highlight w:val="none"/>
        </w:rPr>
        <w:t>格式2</w:t>
      </w:r>
      <w:bookmarkEnd w:id="40"/>
      <w:bookmarkEnd w:id="41"/>
    </w:p>
    <w:p>
      <w:pPr>
        <w:jc w:val="center"/>
        <w:rPr>
          <w:rFonts w:hint="eastAsia" w:ascii="宋体" w:hAnsi="宋体" w:eastAsia="宋体" w:cs="宋体"/>
          <w:b/>
          <w:bCs/>
          <w:color w:val="auto"/>
          <w:sz w:val="32"/>
          <w:szCs w:val="32"/>
          <w:highlight w:val="none"/>
        </w:rPr>
      </w:pPr>
      <w:r>
        <w:rPr>
          <w:rFonts w:hint="eastAsia" w:ascii="宋体" w:hAnsi="宋体" w:eastAsia="宋体" w:cs="宋体"/>
          <w:color w:val="auto"/>
          <w:sz w:val="32"/>
          <w:highlight w:val="none"/>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17780" b="2286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p>
                        </w:txbxContent>
                      </wps:txbx>
                      <wps:bodyPr wrap="square"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1XXs+2QAAAAoB&#10;AAAPAAAAAAAAAAEAIAAAACIAAABkcnMvZG93bnJldi54bWxQSwECFAAUAAAACACHTuJAIeVfCRoC&#10;AABSBAAADgAAAAAAAAABACAAAAAoAQAAZHJzL2Uyb0RvYy54bWxQSwUGAAAAAAYABgBZAQAAtAUA&#10;AAAA&#10;">
                <v:fill on="t" focussize="0,0"/>
                <v:stroke color="#000000" joinstyle="miter"/>
                <v:imagedata o:title=""/>
                <o:lock v:ext="edit" aspectratio="f"/>
                <v:textbox>
                  <w:txbxContent>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w:t>
                      </w:r>
                    </w:p>
                  </w:txbxContent>
                </v:textbox>
              </v:shape>
            </w:pict>
          </mc:Fallback>
        </mc:AlternateContent>
      </w:r>
      <w:r>
        <w:rPr>
          <w:rFonts w:hint="eastAsia" w:ascii="宋体" w:hAnsi="宋体" w:eastAsia="宋体" w:cs="宋体"/>
          <w:b/>
          <w:bCs/>
          <w:color w:val="auto"/>
          <w:sz w:val="32"/>
          <w:szCs w:val="32"/>
          <w:highlight w:val="none"/>
        </w:rPr>
        <w:t>响应文件的封皮</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响  应  文  件</w:t>
      </w: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所响应包号：第  包</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 ：</w:t>
      </w:r>
    </w:p>
    <w:p>
      <w:pPr>
        <w:outlineLvl w:val="1"/>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br w:type="page"/>
      </w:r>
      <w:bookmarkStart w:id="42" w:name="_Toc4485628"/>
      <w:bookmarkStart w:id="43" w:name="_Toc533340151"/>
      <w:r>
        <w:rPr>
          <w:rFonts w:hint="eastAsia" w:ascii="宋体" w:hAnsi="宋体" w:eastAsia="宋体" w:cs="宋体"/>
          <w:b/>
          <w:bCs/>
          <w:color w:val="auto"/>
          <w:sz w:val="28"/>
          <w:szCs w:val="28"/>
          <w:highlight w:val="none"/>
        </w:rPr>
        <w:t>格式3</w:t>
      </w:r>
      <w:bookmarkEnd w:id="42"/>
      <w:bookmarkEnd w:id="43"/>
    </w:p>
    <w:p>
      <w:pPr>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  录</w:t>
      </w:r>
    </w:p>
    <w:p>
      <w:pPr>
        <w:rPr>
          <w:rFonts w:hint="eastAsia" w:ascii="宋体" w:hAnsi="宋体" w:eastAsia="宋体" w:cs="宋体"/>
          <w:color w:val="auto"/>
          <w:highlight w:val="none"/>
        </w:rPr>
      </w:pPr>
      <w:r>
        <w:rPr>
          <w:rFonts w:hint="eastAsia" w:ascii="宋体" w:hAnsi="宋体" w:eastAsia="宋体" w:cs="宋体"/>
          <w:color w:val="auto"/>
          <w:highlight w:val="none"/>
        </w:rPr>
        <w:t>一、资格证明材料</w:t>
      </w:r>
    </w:p>
    <w:p>
      <w:pPr>
        <w:rPr>
          <w:rFonts w:hint="eastAsia" w:ascii="宋体" w:hAnsi="宋体" w:eastAsia="宋体" w:cs="宋体"/>
          <w:color w:val="auto"/>
          <w:highlight w:val="none"/>
        </w:rPr>
      </w:pPr>
      <w:r>
        <w:rPr>
          <w:rFonts w:hint="eastAsia" w:ascii="宋体" w:hAnsi="宋体" w:eastAsia="宋体" w:cs="宋体"/>
          <w:color w:val="auto"/>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rPr>
        <w:t>二、符合性证明材料</w:t>
      </w:r>
    </w:p>
    <w:p>
      <w:pPr>
        <w:rPr>
          <w:rFonts w:hint="eastAsia" w:ascii="宋体" w:hAnsi="宋体" w:eastAsia="宋体" w:cs="宋体"/>
          <w:color w:val="auto"/>
          <w:highlight w:val="none"/>
        </w:rPr>
      </w:pPr>
      <w:r>
        <w:rPr>
          <w:rFonts w:hint="eastAsia" w:ascii="宋体" w:hAnsi="宋体" w:eastAsia="宋体" w:cs="宋体"/>
          <w:color w:val="auto"/>
          <w:highlight w:val="none"/>
        </w:rPr>
        <w:t>……</w:t>
      </w:r>
    </w:p>
    <w:p>
      <w:pPr>
        <w:rPr>
          <w:rFonts w:hint="eastAsia" w:ascii="宋体" w:hAnsi="宋体" w:eastAsia="宋体" w:cs="宋体"/>
          <w:color w:val="auto"/>
          <w:highlight w:val="none"/>
        </w:rPr>
      </w:pPr>
      <w:r>
        <w:rPr>
          <w:rFonts w:hint="eastAsia" w:ascii="宋体" w:hAnsi="宋体" w:eastAsia="宋体" w:cs="宋体"/>
          <w:color w:val="auto"/>
          <w:highlight w:val="none"/>
        </w:rPr>
        <w:t>三、其它材料</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pStyle w:val="76"/>
        <w:rPr>
          <w:rFonts w:hint="eastAsia" w:ascii="宋体" w:hAnsi="宋体" w:eastAsia="宋体" w:cs="宋体"/>
          <w:color w:val="auto"/>
          <w:szCs w:val="21"/>
          <w:highlight w:val="none"/>
        </w:rPr>
      </w:pPr>
    </w:p>
    <w:p>
      <w:pPr>
        <w:pStyle w:val="76"/>
        <w:rPr>
          <w:rFonts w:hint="eastAsia" w:ascii="宋体" w:hAnsi="宋体" w:eastAsia="宋体" w:cs="宋体"/>
          <w:color w:val="auto"/>
          <w:szCs w:val="21"/>
          <w:highlight w:val="none"/>
        </w:rPr>
      </w:pPr>
    </w:p>
    <w:p>
      <w:pPr>
        <w:pStyle w:val="76"/>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adjustRightInd w:val="0"/>
        <w:snapToGrid w:val="0"/>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我单位的响应文件由资格证明材料、符合性证明材料和其它材料三部分组成，在此加盖单位公章并由法定代表人（或非法人组织负责人）或其授权委托人签字，保证响应文件中所有材料真实、有效。</w:t>
      </w:r>
    </w:p>
    <w:p>
      <w:pPr>
        <w:rPr>
          <w:rFonts w:hint="eastAsia" w:ascii="宋体" w:hAnsi="宋体" w:eastAsia="宋体" w:cs="宋体"/>
          <w:color w:val="auto"/>
          <w:highlight w:val="none"/>
        </w:rPr>
      </w:pP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供应商名称：</w:t>
      </w:r>
      <w:r>
        <w:rPr>
          <w:rFonts w:hint="eastAsia" w:ascii="宋体" w:hAnsi="宋体" w:eastAsia="宋体" w:cs="宋体"/>
          <w:color w:val="auto"/>
          <w:highlight w:val="none"/>
          <w:u w:val="single"/>
        </w:rPr>
        <w:t>（加盖单位公章）</w:t>
      </w:r>
      <w:r>
        <w:rPr>
          <w:rFonts w:hint="eastAsia" w:ascii="宋体" w:hAnsi="宋体" w:eastAsia="宋体" w:cs="宋体"/>
          <w:color w:val="auto"/>
          <w:highlight w:val="none"/>
        </w:rPr>
        <w:t xml:space="preserve">           </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w:t>
      </w:r>
      <w:r>
        <w:rPr>
          <w:rFonts w:hint="eastAsia" w:ascii="宋体" w:hAnsi="宋体" w:eastAsia="宋体" w:cs="宋体"/>
          <w:color w:val="auto"/>
          <w:szCs w:val="21"/>
          <w:highlight w:val="none"/>
        </w:rPr>
        <w:t>非法人组织负责人</w:t>
      </w:r>
      <w:r>
        <w:rPr>
          <w:rFonts w:hint="eastAsia" w:ascii="宋体" w:hAnsi="宋体" w:eastAsia="宋体" w:cs="宋体"/>
          <w:color w:val="auto"/>
          <w:highlight w:val="none"/>
        </w:rPr>
        <w:t>）</w:t>
      </w:r>
      <w:r>
        <w:rPr>
          <w:rFonts w:hint="eastAsia" w:ascii="宋体" w:hAnsi="宋体" w:eastAsia="宋体" w:cs="宋体"/>
          <w:color w:val="auto"/>
          <w:szCs w:val="21"/>
          <w:highlight w:val="none"/>
        </w:rPr>
        <w:t>或</w:t>
      </w:r>
      <w:r>
        <w:rPr>
          <w:rFonts w:hint="eastAsia" w:ascii="宋体" w:hAnsi="宋体" w:eastAsia="宋体" w:cs="宋体"/>
          <w:color w:val="auto"/>
          <w:highlight w:val="none"/>
        </w:rPr>
        <w:t xml:space="preserve">其授权委托人： </w:t>
      </w:r>
      <w:r>
        <w:rPr>
          <w:rFonts w:hint="eastAsia" w:ascii="宋体" w:hAnsi="宋体" w:eastAsia="宋体" w:cs="宋体"/>
          <w:color w:val="auto"/>
          <w:highlight w:val="none"/>
          <w:u w:val="single"/>
        </w:rPr>
        <w:t xml:space="preserve">          (签字或盖章) </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日期： </w:t>
      </w:r>
      <w:r>
        <w:rPr>
          <w:rFonts w:hint="eastAsia" w:ascii="宋体" w:hAnsi="宋体" w:eastAsia="宋体" w:cs="宋体"/>
          <w:color w:val="auto"/>
          <w:highlight w:val="none"/>
          <w:u w:val="single"/>
        </w:rPr>
        <w:t xml:space="preserve">            </w:t>
      </w:r>
    </w:p>
    <w:p>
      <w:pPr>
        <w:pStyle w:val="7"/>
        <w:adjustRightInd w:val="0"/>
        <w:snapToGrid w:val="0"/>
        <w:spacing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bookmarkStart w:id="44" w:name="_Toc533340152"/>
      <w:bookmarkStart w:id="45" w:name="_Toc4485629"/>
      <w:r>
        <w:rPr>
          <w:rFonts w:hint="eastAsia" w:ascii="宋体" w:hAnsi="宋体" w:eastAsia="宋体" w:cs="宋体"/>
          <w:color w:val="auto"/>
          <w:sz w:val="28"/>
          <w:szCs w:val="28"/>
          <w:highlight w:val="none"/>
        </w:rPr>
        <w:t>格式4</w:t>
      </w:r>
      <w:bookmarkEnd w:id="44"/>
      <w:bookmarkEnd w:id="45"/>
    </w:p>
    <w:p>
      <w:pPr>
        <w:spacing w:before="319" w:beforeLines="100" w:after="319" w:afterLines="10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法定代表人（或非法人组织负责人）身份证明书</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，出生日期：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，现任职务：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（供应商名称）的法定代表人（或非法人组织负责人）。</w:t>
      </w:r>
    </w:p>
    <w:p>
      <w:pPr>
        <w:ind w:firstLine="420" w:firstLineChars="200"/>
        <w:rPr>
          <w:rFonts w:hint="eastAsia" w:ascii="宋体" w:hAnsi="宋体" w:eastAsia="宋体" w:cs="宋体"/>
          <w:color w:val="auto"/>
          <w:szCs w:val="21"/>
          <w:highlight w:val="none"/>
        </w:rPr>
      </w:pPr>
    </w:p>
    <w:p>
      <w:pPr>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特此证明。</w:t>
      </w: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tbl>
      <w:tblPr>
        <w:tblStyle w:val="40"/>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（※法定代表人（或非法人组织负责人）身份证正、反面复印件※）</w:t>
            </w:r>
          </w:p>
        </w:tc>
      </w:tr>
    </w:tbl>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rPr>
          <w:rFonts w:hint="eastAsia" w:ascii="宋体" w:hAnsi="宋体" w:eastAsia="宋体" w:cs="宋体"/>
          <w:color w:val="auto"/>
          <w:szCs w:val="21"/>
          <w:highlight w:val="none"/>
        </w:rPr>
      </w:pP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供应商名称（加盖单位公章）：</w:t>
      </w:r>
      <w:r>
        <w:rPr>
          <w:rFonts w:hint="eastAsia" w:ascii="宋体" w:hAnsi="宋体" w:eastAsia="宋体" w:cs="宋体"/>
          <w:color w:val="auto"/>
          <w:highlight w:val="none"/>
          <w:u w:val="single"/>
        </w:rPr>
        <w:t xml:space="preserve">           </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pPr>
        <w:outlineLvl w:val="1"/>
        <w:rPr>
          <w:rFonts w:hint="eastAsia" w:ascii="宋体" w:hAnsi="宋体" w:eastAsia="宋体" w:cs="宋体"/>
          <w:b/>
          <w:bCs/>
          <w:color w:val="auto"/>
          <w:sz w:val="28"/>
          <w:szCs w:val="28"/>
          <w:highlight w:val="none"/>
        </w:rPr>
      </w:pPr>
      <w:bookmarkStart w:id="46" w:name="_Toc4485630"/>
      <w:bookmarkStart w:id="47" w:name="_Toc533340153"/>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格式5</w:t>
      </w:r>
      <w:bookmarkEnd w:id="46"/>
      <w:bookmarkEnd w:id="47"/>
    </w:p>
    <w:p>
      <w:pPr>
        <w:spacing w:before="319" w:beforeLines="100" w:after="319" w:afterLines="10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法定代表人（或非法人组织负责人）授权委托书</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单位名称：</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法定代表人（或非法人组织负责人）姓名：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身份证号码：</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住所地：</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highlight w:val="none"/>
        </w:rPr>
        <w:t>授权委托人姓名</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身份证号码：</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工作单位：</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住址：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电话：</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就</w:t>
      </w:r>
      <w:r>
        <w:rPr>
          <w:rFonts w:hint="eastAsia" w:ascii="宋体" w:hAnsi="宋体" w:eastAsia="宋体" w:cs="宋体"/>
          <w:color w:val="auto"/>
          <w:szCs w:val="21"/>
          <w:highlight w:val="none"/>
          <w:u w:val="single"/>
        </w:rPr>
        <w:t>（项目编号、项目名称、包号）</w:t>
      </w:r>
      <w:r>
        <w:rPr>
          <w:rFonts w:hint="eastAsia" w:ascii="宋体" w:hAnsi="宋体" w:eastAsia="宋体" w:cs="宋体"/>
          <w:color w:val="auto"/>
          <w:szCs w:val="21"/>
          <w:highlight w:val="none"/>
        </w:rPr>
        <w:t>政府采购活动，以我单位名义处理一切与之有关的事务。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本授权书于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日签字或盖章生效，</w:t>
      </w:r>
      <w:r>
        <w:rPr>
          <w:rFonts w:hint="eastAsia" w:ascii="宋体" w:hAnsi="宋体" w:eastAsia="宋体" w:cs="宋体"/>
          <w:b/>
          <w:color w:val="auto"/>
          <w:szCs w:val="21"/>
          <w:highlight w:val="none"/>
        </w:rPr>
        <w:t>无转委托，</w:t>
      </w:r>
      <w:r>
        <w:rPr>
          <w:rFonts w:hint="eastAsia" w:ascii="宋体" w:hAnsi="宋体" w:eastAsia="宋体" w:cs="宋体"/>
          <w:color w:val="auto"/>
          <w:szCs w:val="21"/>
          <w:highlight w:val="none"/>
        </w:rPr>
        <w:t>特此声明。</w:t>
      </w:r>
    </w:p>
    <w:tbl>
      <w:tblPr>
        <w:tblStyle w:val="40"/>
        <w:tblpPr w:leftFromText="180" w:rightFromText="180" w:vertAnchor="text" w:horzAnchor="page" w:tblpX="1951" w:tblpY="149"/>
        <w:tblOverlap w:val="never"/>
        <w:tblW w:w="8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8228" w:type="dxa"/>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highlight w:val="none"/>
              </w:rPr>
              <w:t>授权委托人</w:t>
            </w:r>
            <w:r>
              <w:rPr>
                <w:rFonts w:hint="eastAsia" w:ascii="宋体" w:hAnsi="宋体" w:eastAsia="宋体" w:cs="宋体"/>
                <w:color w:val="auto"/>
                <w:szCs w:val="21"/>
                <w:highlight w:val="none"/>
              </w:rPr>
              <w:t>身份证正、反面复印件※）</w:t>
            </w:r>
          </w:p>
        </w:tc>
      </w:tr>
    </w:tbl>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rPr>
      </w:pP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委托人（加盖单位公章）：</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法定代表人（或非法人组织负责人）（签字或盖章）：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highlight w:val="none"/>
        </w:rPr>
        <w:t>授权委托人</w:t>
      </w:r>
      <w:r>
        <w:rPr>
          <w:rFonts w:hint="eastAsia" w:ascii="宋体" w:hAnsi="宋体" w:eastAsia="宋体" w:cs="宋体"/>
          <w:color w:val="auto"/>
          <w:szCs w:val="21"/>
          <w:highlight w:val="none"/>
        </w:rPr>
        <w:t xml:space="preserve">（签字或盖章）：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邮政编码 ：</w:t>
      </w:r>
      <w:r>
        <w:rPr>
          <w:rFonts w:hint="eastAsia" w:ascii="宋体" w:hAnsi="宋体" w:eastAsia="宋体" w:cs="宋体"/>
          <w:color w:val="auto"/>
          <w:szCs w:val="21"/>
          <w:highlight w:val="none"/>
          <w:u w:val="single"/>
        </w:rPr>
        <w:t xml:space="preserve">              </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传        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    话：</w:t>
      </w:r>
      <w:r>
        <w:rPr>
          <w:rFonts w:hint="eastAsia" w:ascii="宋体" w:hAnsi="宋体" w:eastAsia="宋体" w:cs="宋体"/>
          <w:color w:val="auto"/>
          <w:szCs w:val="21"/>
          <w:highlight w:val="none"/>
          <w:u w:val="single"/>
        </w:rPr>
        <w:t xml:space="preserve">              </w:t>
      </w:r>
    </w:p>
    <w:p>
      <w:pPr>
        <w:spacing w:line="360" w:lineRule="auto"/>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pPr>
        <w:pStyle w:val="7"/>
        <w:adjustRightInd w:val="0"/>
        <w:snapToGrid w:val="0"/>
        <w:spacing w:before="0" w:after="0" w:line="240" w:lineRule="auto"/>
        <w:jc w:val="left"/>
        <w:rPr>
          <w:rFonts w:hint="eastAsia" w:ascii="宋体" w:hAnsi="宋体" w:eastAsia="宋体" w:cs="宋体"/>
          <w:color w:val="auto"/>
          <w:sz w:val="28"/>
          <w:highlight w:val="none"/>
        </w:rPr>
      </w:pPr>
      <w:r>
        <w:rPr>
          <w:rFonts w:hint="eastAsia" w:ascii="宋体" w:hAnsi="宋体" w:eastAsia="宋体" w:cs="宋体"/>
          <w:color w:val="auto"/>
          <w:szCs w:val="21"/>
          <w:highlight w:val="none"/>
          <w:u w:val="single"/>
        </w:rPr>
        <w:br w:type="page"/>
      </w:r>
      <w:bookmarkStart w:id="48" w:name="_Toc533340154"/>
      <w:bookmarkStart w:id="49" w:name="_Toc4485631"/>
      <w:r>
        <w:rPr>
          <w:rFonts w:hint="eastAsia" w:ascii="宋体" w:hAnsi="宋体" w:eastAsia="宋体" w:cs="宋体"/>
          <w:color w:val="auto"/>
          <w:sz w:val="28"/>
          <w:highlight w:val="none"/>
        </w:rPr>
        <w:t>格式6</w:t>
      </w:r>
    </w:p>
    <w:p>
      <w:pPr>
        <w:spacing w:before="319" w:beforeLines="100" w:after="319" w:afterLines="100" w:line="360" w:lineRule="auto"/>
        <w:ind w:right="-21" w:rightChars="-1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具有良好的商业信誉和健全的财务会计制度的承诺函</w:t>
      </w:r>
    </w:p>
    <w:p>
      <w:pPr>
        <w:spacing w:before="319" w:beforeLines="100" w:after="319" w:afterLines="100" w:line="480" w:lineRule="exact"/>
        <w:ind w:right="630" w:rightChars="3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（格式自拟）</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snapToGrid w:val="0"/>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供应商名称（加盖单位公章）：</w:t>
      </w:r>
      <w:r>
        <w:rPr>
          <w:rFonts w:hint="eastAsia" w:ascii="宋体" w:hAnsi="宋体" w:eastAsia="宋体" w:cs="宋体"/>
          <w:color w:val="auto"/>
          <w:highlight w:val="none"/>
          <w:u w:val="single"/>
        </w:rPr>
        <w:t xml:space="preserve">           </w:t>
      </w:r>
    </w:p>
    <w:p>
      <w:pPr>
        <w:snapToGrid w:val="0"/>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w:t>
      </w:r>
      <w:r>
        <w:rPr>
          <w:rFonts w:hint="eastAsia" w:ascii="宋体" w:hAnsi="宋体" w:eastAsia="宋体" w:cs="宋体"/>
          <w:color w:val="auto"/>
          <w:szCs w:val="21"/>
          <w:highlight w:val="none"/>
        </w:rPr>
        <w:t>非法人组织负责人）或</w:t>
      </w:r>
      <w:r>
        <w:rPr>
          <w:rFonts w:hint="eastAsia" w:ascii="宋体" w:hAnsi="宋体" w:eastAsia="宋体" w:cs="宋体"/>
          <w:color w:val="auto"/>
          <w:highlight w:val="none"/>
        </w:rPr>
        <w:t>其授权委托人(签字或盖章)：</w:t>
      </w:r>
      <w:r>
        <w:rPr>
          <w:rFonts w:hint="eastAsia" w:ascii="宋体" w:hAnsi="宋体" w:eastAsia="宋体" w:cs="宋体"/>
          <w:color w:val="auto"/>
          <w:highlight w:val="none"/>
          <w:u w:val="single"/>
        </w:rPr>
        <w:t xml:space="preserve">           </w:t>
      </w:r>
    </w:p>
    <w:p>
      <w:pPr>
        <w:adjustRightInd w:val="0"/>
        <w:snapToGrid w:val="0"/>
        <w:spacing w:line="360" w:lineRule="auto"/>
        <w:ind w:right="105" w:rightChars="50"/>
        <w:jc w:val="left"/>
        <w:rPr>
          <w:rFonts w:hint="eastAsia" w:ascii="宋体" w:hAnsi="宋体" w:eastAsia="宋体" w:cs="宋体"/>
          <w:color w:val="auto"/>
          <w:highlight w:val="none"/>
          <w:u w:val="singl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pPr>
        <w:adjustRightInd w:val="0"/>
        <w:snapToGrid w:val="0"/>
        <w:spacing w:line="360" w:lineRule="auto"/>
        <w:ind w:right="105" w:rightChars="50"/>
        <w:jc w:val="left"/>
        <w:rPr>
          <w:rFonts w:hint="eastAsia" w:ascii="宋体" w:hAnsi="宋体" w:eastAsia="宋体" w:cs="宋体"/>
          <w:color w:val="auto"/>
          <w:highlight w:val="none"/>
          <w:u w:val="single"/>
        </w:rPr>
      </w:pPr>
    </w:p>
    <w:p>
      <w:pPr>
        <w:widowControl/>
        <w:jc w:val="left"/>
        <w:outlineLvl w:val="1"/>
        <w:rPr>
          <w:rFonts w:hint="eastAsia" w:ascii="宋体" w:hAnsi="宋体" w:eastAsia="宋体" w:cs="宋体"/>
          <w:b/>
          <w:bCs/>
          <w:color w:val="auto"/>
          <w:sz w:val="28"/>
          <w:szCs w:val="28"/>
          <w:highlight w:val="none"/>
        </w:rPr>
      </w:pPr>
      <w:r>
        <w:rPr>
          <w:rFonts w:hint="eastAsia" w:ascii="宋体" w:hAnsi="宋体" w:eastAsia="宋体" w:cs="宋体"/>
          <w:color w:val="auto"/>
          <w:szCs w:val="21"/>
          <w:highlight w:val="none"/>
          <w:u w:val="single"/>
        </w:rPr>
        <w:br w:type="page"/>
      </w:r>
      <w:r>
        <w:rPr>
          <w:rFonts w:hint="eastAsia" w:ascii="宋体" w:hAnsi="宋体" w:eastAsia="宋体" w:cs="宋体"/>
          <w:b/>
          <w:bCs/>
          <w:color w:val="auto"/>
          <w:sz w:val="28"/>
          <w:szCs w:val="28"/>
          <w:highlight w:val="none"/>
        </w:rPr>
        <w:t>格式</w:t>
      </w:r>
      <w:bookmarkEnd w:id="48"/>
      <w:bookmarkEnd w:id="49"/>
      <w:r>
        <w:rPr>
          <w:rFonts w:hint="eastAsia" w:ascii="宋体" w:hAnsi="宋体" w:eastAsia="宋体" w:cs="宋体"/>
          <w:b/>
          <w:bCs/>
          <w:color w:val="auto"/>
          <w:sz w:val="28"/>
          <w:szCs w:val="28"/>
          <w:highlight w:val="none"/>
        </w:rPr>
        <w:t>7</w:t>
      </w:r>
    </w:p>
    <w:p>
      <w:pPr>
        <w:spacing w:before="319" w:beforeLines="100" w:after="319" w:afterLines="10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具备履行合同所必需的设备和专业技术能力声明函</w:t>
      </w:r>
    </w:p>
    <w:p>
      <w:pPr>
        <w:spacing w:before="319" w:beforeLines="100" w:after="319" w:afterLines="100" w:line="480" w:lineRule="exact"/>
        <w:ind w:right="630" w:rightChars="3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（格式自拟）</w:t>
      </w:r>
    </w:p>
    <w:p>
      <w:pPr>
        <w:spacing w:before="319" w:beforeLines="100" w:after="319" w:afterLines="100" w:line="480" w:lineRule="exact"/>
        <w:ind w:right="630" w:rightChars="300"/>
        <w:jc w:val="center"/>
        <w:rPr>
          <w:rFonts w:hint="eastAsia" w:ascii="宋体" w:hAnsi="宋体" w:eastAsia="宋体" w:cs="宋体"/>
          <w:b/>
          <w:color w:val="auto"/>
          <w:sz w:val="28"/>
          <w:szCs w:val="28"/>
          <w:highlight w:val="none"/>
        </w:rPr>
      </w:pPr>
    </w:p>
    <w:p>
      <w:pPr>
        <w:spacing w:before="319" w:beforeLines="100" w:after="319" w:afterLines="100" w:line="480" w:lineRule="exact"/>
        <w:ind w:right="630" w:rightChars="300"/>
        <w:jc w:val="center"/>
        <w:rPr>
          <w:rFonts w:hint="eastAsia" w:ascii="宋体" w:hAnsi="宋体" w:eastAsia="宋体" w:cs="宋体"/>
          <w:b/>
          <w:color w:val="auto"/>
          <w:sz w:val="28"/>
          <w:szCs w:val="28"/>
          <w:highlight w:val="none"/>
        </w:rPr>
      </w:pPr>
    </w:p>
    <w:p>
      <w:pPr>
        <w:spacing w:before="319" w:beforeLines="100" w:after="319" w:afterLines="100" w:line="480" w:lineRule="exact"/>
        <w:ind w:right="630" w:rightChars="300"/>
        <w:jc w:val="center"/>
        <w:rPr>
          <w:rFonts w:hint="eastAsia" w:ascii="宋体" w:hAnsi="宋体" w:eastAsia="宋体" w:cs="宋体"/>
          <w:b/>
          <w:color w:val="auto"/>
          <w:sz w:val="28"/>
          <w:szCs w:val="28"/>
          <w:highlight w:val="none"/>
        </w:rPr>
      </w:pPr>
    </w:p>
    <w:p>
      <w:pPr>
        <w:spacing w:before="319" w:beforeLines="100" w:after="319" w:afterLines="100" w:line="480" w:lineRule="exact"/>
        <w:ind w:right="630" w:rightChars="300"/>
        <w:jc w:val="center"/>
        <w:rPr>
          <w:rFonts w:hint="eastAsia" w:ascii="宋体" w:hAnsi="宋体" w:eastAsia="宋体" w:cs="宋体"/>
          <w:b/>
          <w:color w:val="auto"/>
          <w:sz w:val="28"/>
          <w:szCs w:val="28"/>
          <w:highlight w:val="none"/>
        </w:rPr>
      </w:pPr>
    </w:p>
    <w:p>
      <w:pPr>
        <w:spacing w:before="319" w:beforeLines="100" w:after="319" w:afterLines="100" w:line="480" w:lineRule="exact"/>
        <w:ind w:right="630" w:rightChars="300"/>
        <w:jc w:val="center"/>
        <w:rPr>
          <w:rFonts w:hint="eastAsia" w:ascii="宋体" w:hAnsi="宋体" w:eastAsia="宋体" w:cs="宋体"/>
          <w:b/>
          <w:color w:val="auto"/>
          <w:sz w:val="28"/>
          <w:szCs w:val="28"/>
          <w:highlight w:val="none"/>
        </w:rPr>
      </w:pPr>
    </w:p>
    <w:p>
      <w:pPr>
        <w:spacing w:before="319" w:beforeLines="100" w:after="319" w:afterLines="100" w:line="480" w:lineRule="exact"/>
        <w:ind w:right="630" w:rightChars="300"/>
        <w:jc w:val="center"/>
        <w:rPr>
          <w:rFonts w:hint="eastAsia" w:ascii="宋体" w:hAnsi="宋体" w:eastAsia="宋体" w:cs="宋体"/>
          <w:b/>
          <w:color w:val="auto"/>
          <w:sz w:val="28"/>
          <w:szCs w:val="28"/>
          <w:highlight w:val="none"/>
        </w:rPr>
      </w:pP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供应商名称（加盖单位公章）：</w:t>
      </w:r>
      <w:r>
        <w:rPr>
          <w:rFonts w:hint="eastAsia" w:ascii="宋体" w:hAnsi="宋体" w:eastAsia="宋体" w:cs="宋体"/>
          <w:color w:val="auto"/>
          <w:highlight w:val="none"/>
          <w:u w:val="single"/>
        </w:rPr>
        <w:t xml:space="preserve">           </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w:t>
      </w:r>
      <w:r>
        <w:rPr>
          <w:rFonts w:hint="eastAsia" w:ascii="宋体" w:hAnsi="宋体" w:eastAsia="宋体" w:cs="宋体"/>
          <w:color w:val="auto"/>
          <w:szCs w:val="21"/>
          <w:highlight w:val="none"/>
        </w:rPr>
        <w:t>非法人组织负责人）或</w:t>
      </w:r>
      <w:r>
        <w:rPr>
          <w:rFonts w:hint="eastAsia" w:ascii="宋体" w:hAnsi="宋体" w:eastAsia="宋体" w:cs="宋体"/>
          <w:color w:val="auto"/>
          <w:highlight w:val="none"/>
        </w:rPr>
        <w:t>其授权委托人(签字或盖章)：</w:t>
      </w:r>
      <w:r>
        <w:rPr>
          <w:rFonts w:hint="eastAsia" w:ascii="宋体" w:hAnsi="宋体" w:eastAsia="宋体" w:cs="宋体"/>
          <w:color w:val="auto"/>
          <w:highlight w:val="none"/>
          <w:u w:val="single"/>
        </w:rPr>
        <w:t xml:space="preserve">           </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pPr>
        <w:widowControl/>
        <w:jc w:val="left"/>
        <w:outlineLvl w:val="1"/>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br w:type="page"/>
      </w:r>
      <w:bookmarkStart w:id="50" w:name="_Toc4485632"/>
      <w:bookmarkStart w:id="51" w:name="_Toc533340155"/>
      <w:r>
        <w:rPr>
          <w:rFonts w:hint="eastAsia" w:ascii="宋体" w:hAnsi="宋体" w:eastAsia="宋体" w:cs="宋体"/>
          <w:b/>
          <w:bCs/>
          <w:color w:val="auto"/>
          <w:sz w:val="28"/>
          <w:szCs w:val="28"/>
          <w:highlight w:val="none"/>
        </w:rPr>
        <w:t>格式</w:t>
      </w:r>
      <w:bookmarkEnd w:id="50"/>
      <w:bookmarkEnd w:id="51"/>
      <w:r>
        <w:rPr>
          <w:rFonts w:hint="eastAsia" w:ascii="宋体" w:hAnsi="宋体" w:eastAsia="宋体" w:cs="宋体"/>
          <w:b/>
          <w:bCs/>
          <w:color w:val="auto"/>
          <w:sz w:val="28"/>
          <w:szCs w:val="28"/>
          <w:highlight w:val="none"/>
        </w:rPr>
        <w:t>8</w:t>
      </w:r>
    </w:p>
    <w:p>
      <w:pPr>
        <w:spacing w:before="319" w:beforeLines="100" w:after="319" w:afterLines="100" w:line="360" w:lineRule="auto"/>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32"/>
          <w:szCs w:val="32"/>
          <w:highlight w:val="none"/>
        </w:rPr>
        <w:t xml:space="preserve"> 参加政府采购活动前3年内在经营活动中没有重大违法记录的书面声明</w:t>
      </w:r>
    </w:p>
    <w:p>
      <w:pPr>
        <w:spacing w:line="360" w:lineRule="auto"/>
        <w:ind w:right="630" w:rightChars="300"/>
        <w:rPr>
          <w:rFonts w:hint="eastAsia" w:ascii="宋体" w:hAnsi="宋体" w:eastAsia="宋体" w:cs="宋体"/>
          <w:b/>
          <w:color w:val="auto"/>
          <w:szCs w:val="21"/>
          <w:highlight w:val="none"/>
        </w:rPr>
      </w:pPr>
      <w:r>
        <w:rPr>
          <w:rFonts w:hint="eastAsia" w:ascii="宋体" w:hAnsi="宋体" w:eastAsia="宋体" w:cs="宋体"/>
          <w:b/>
          <w:color w:val="auto"/>
          <w:szCs w:val="21"/>
          <w:highlight w:val="none"/>
          <w:u w:val="single"/>
        </w:rPr>
        <w:t xml:space="preserve">（采购人或采购代理机构名称） </w:t>
      </w:r>
      <w:r>
        <w:rPr>
          <w:rFonts w:hint="eastAsia" w:ascii="宋体" w:hAnsi="宋体" w:eastAsia="宋体" w:cs="宋体"/>
          <w:b/>
          <w:color w:val="auto"/>
          <w:szCs w:val="21"/>
          <w:highlight w:val="none"/>
        </w:rPr>
        <w:t xml:space="preserve"> ：</w:t>
      </w:r>
    </w:p>
    <w:p>
      <w:pPr>
        <w:spacing w:line="360" w:lineRule="auto"/>
        <w:ind w:right="-21" w:rightChars="-10" w:firstLine="493" w:firstLineChars="235"/>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在本项目提交响应文件截止时间前，</w:t>
      </w:r>
      <w:r>
        <w:rPr>
          <w:rFonts w:hint="eastAsia" w:ascii="宋体" w:hAnsi="宋体" w:eastAsia="宋体" w:cs="宋体"/>
          <w:color w:val="auto"/>
          <w:szCs w:val="21"/>
          <w:highlight w:val="none"/>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pPr>
        <w:tabs>
          <w:tab w:val="left" w:pos="10065"/>
        </w:tabs>
        <w:spacing w:line="360" w:lineRule="auto"/>
        <w:ind w:right="-21" w:rightChars="-10" w:firstLine="371" w:firstLineChars="177"/>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如发现我单位提供的声明函不实时，我单位将按照《政府采购法》有关提供虚假材料的规定，接受处罚。</w:t>
      </w:r>
    </w:p>
    <w:p>
      <w:pPr>
        <w:spacing w:line="360" w:lineRule="auto"/>
        <w:ind w:right="1050" w:rightChars="5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特此声明。</w:t>
      </w:r>
    </w:p>
    <w:p>
      <w:pPr>
        <w:spacing w:line="500" w:lineRule="exact"/>
        <w:ind w:right="1050" w:rightChars="500" w:firstLine="420" w:firstLineChars="200"/>
        <w:rPr>
          <w:rFonts w:hint="eastAsia" w:ascii="宋体" w:hAnsi="宋体" w:eastAsia="宋体" w:cs="宋体"/>
          <w:color w:val="auto"/>
          <w:szCs w:val="21"/>
          <w:highlight w:val="none"/>
        </w:rPr>
      </w:pPr>
    </w:p>
    <w:p>
      <w:pPr>
        <w:spacing w:before="159" w:beforeLines="50" w:after="159" w:afterLines="50" w:line="400" w:lineRule="exact"/>
        <w:ind w:right="1050" w:rightChars="500" w:firstLine="420" w:firstLineChars="200"/>
        <w:rPr>
          <w:rFonts w:hint="eastAsia" w:ascii="宋体" w:hAnsi="宋体" w:eastAsia="宋体" w:cs="宋体"/>
          <w:color w:val="auto"/>
          <w:szCs w:val="21"/>
          <w:highlight w:val="none"/>
        </w:rPr>
      </w:pPr>
    </w:p>
    <w:p>
      <w:pPr>
        <w:spacing w:before="159" w:beforeLines="50" w:after="159" w:afterLines="50" w:line="400" w:lineRule="exact"/>
        <w:ind w:right="1050" w:rightChars="500" w:firstLine="420" w:firstLineChars="200"/>
        <w:rPr>
          <w:rFonts w:hint="eastAsia" w:ascii="宋体" w:hAnsi="宋体" w:eastAsia="宋体" w:cs="宋体"/>
          <w:color w:val="auto"/>
          <w:szCs w:val="21"/>
          <w:highlight w:val="none"/>
        </w:rPr>
      </w:pPr>
    </w:p>
    <w:p>
      <w:pPr>
        <w:spacing w:line="360" w:lineRule="exact"/>
        <w:ind w:left="1050" w:leftChars="500" w:right="1050" w:rightChars="500" w:firstLine="420" w:firstLineChars="200"/>
        <w:rPr>
          <w:rFonts w:hint="eastAsia" w:ascii="宋体" w:hAnsi="宋体" w:eastAsia="宋体" w:cs="宋体"/>
          <w:color w:val="auto"/>
          <w:szCs w:val="21"/>
          <w:highlight w:val="none"/>
        </w:rPr>
      </w:pP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供应商名称（加盖单位公章）：</w:t>
      </w:r>
      <w:r>
        <w:rPr>
          <w:rFonts w:hint="eastAsia" w:ascii="宋体" w:hAnsi="宋体" w:eastAsia="宋体" w:cs="宋体"/>
          <w:color w:val="auto"/>
          <w:highlight w:val="none"/>
          <w:u w:val="single"/>
        </w:rPr>
        <w:t xml:space="preserve">           </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w:t>
      </w:r>
      <w:r>
        <w:rPr>
          <w:rFonts w:hint="eastAsia" w:ascii="宋体" w:hAnsi="宋体" w:eastAsia="宋体" w:cs="宋体"/>
          <w:color w:val="auto"/>
          <w:szCs w:val="21"/>
          <w:highlight w:val="none"/>
        </w:rPr>
        <w:t>非法人组织负责人）或</w:t>
      </w:r>
      <w:r>
        <w:rPr>
          <w:rFonts w:hint="eastAsia" w:ascii="宋体" w:hAnsi="宋体" w:eastAsia="宋体" w:cs="宋体"/>
          <w:color w:val="auto"/>
          <w:highlight w:val="none"/>
        </w:rPr>
        <w:t>其授权委托人(签字或盖章)：</w:t>
      </w:r>
      <w:r>
        <w:rPr>
          <w:rFonts w:hint="eastAsia" w:ascii="宋体" w:hAnsi="宋体" w:eastAsia="宋体" w:cs="宋体"/>
          <w:color w:val="auto"/>
          <w:highlight w:val="none"/>
          <w:u w:val="single"/>
        </w:rPr>
        <w:t xml:space="preserve">           </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pPr>
        <w:spacing w:line="360" w:lineRule="auto"/>
        <w:ind w:firstLine="420" w:firstLineChars="200"/>
        <w:rPr>
          <w:rFonts w:hint="eastAsia" w:ascii="宋体" w:hAnsi="宋体" w:eastAsia="宋体" w:cs="宋体"/>
          <w:color w:val="auto"/>
          <w:szCs w:val="21"/>
          <w:highlight w:val="none"/>
        </w:rPr>
      </w:pPr>
    </w:p>
    <w:p>
      <w:pPr>
        <w:pStyle w:val="125"/>
        <w:rPr>
          <w:rFonts w:hint="eastAsia" w:ascii="宋体" w:hAnsi="宋体" w:eastAsia="宋体" w:cs="宋体"/>
          <w:color w:val="auto"/>
          <w:szCs w:val="21"/>
          <w:highlight w:val="none"/>
        </w:rPr>
      </w:pPr>
      <w:bookmarkStart w:id="52" w:name="_Toc4485633"/>
      <w:bookmarkStart w:id="53" w:name="_Toc533340156"/>
    </w:p>
    <w:p>
      <w:pPr>
        <w:pStyle w:val="125"/>
        <w:rPr>
          <w:rFonts w:hint="eastAsia" w:ascii="宋体" w:hAnsi="宋体" w:eastAsia="宋体" w:cs="宋体"/>
          <w:color w:val="auto"/>
          <w:szCs w:val="21"/>
          <w:highlight w:val="none"/>
        </w:rPr>
      </w:pPr>
    </w:p>
    <w:p>
      <w:pPr>
        <w:pStyle w:val="125"/>
        <w:rPr>
          <w:rFonts w:hint="eastAsia" w:ascii="宋体" w:hAnsi="宋体" w:eastAsia="宋体" w:cs="宋体"/>
          <w:color w:val="auto"/>
          <w:szCs w:val="21"/>
          <w:highlight w:val="none"/>
        </w:rPr>
      </w:pPr>
    </w:p>
    <w:p>
      <w:pPr>
        <w:pStyle w:val="125"/>
        <w:rPr>
          <w:rFonts w:hint="eastAsia" w:ascii="宋体" w:hAnsi="宋体" w:eastAsia="宋体" w:cs="宋体"/>
          <w:color w:val="auto"/>
          <w:szCs w:val="21"/>
          <w:highlight w:val="none"/>
        </w:rPr>
      </w:pPr>
    </w:p>
    <w:p>
      <w:pPr>
        <w:pStyle w:val="125"/>
        <w:rPr>
          <w:rFonts w:hint="eastAsia" w:ascii="宋体" w:hAnsi="宋体" w:eastAsia="宋体" w:cs="宋体"/>
          <w:color w:val="auto"/>
          <w:szCs w:val="21"/>
          <w:highlight w:val="none"/>
        </w:rPr>
      </w:pPr>
    </w:p>
    <w:p>
      <w:pPr>
        <w:pStyle w:val="125"/>
        <w:rPr>
          <w:rFonts w:hint="eastAsia" w:ascii="宋体" w:hAnsi="宋体" w:eastAsia="宋体" w:cs="宋体"/>
          <w:color w:val="auto"/>
          <w:szCs w:val="21"/>
          <w:highlight w:val="none"/>
        </w:rPr>
      </w:pPr>
    </w:p>
    <w:p>
      <w:pPr>
        <w:pStyle w:val="125"/>
        <w:rPr>
          <w:rFonts w:hint="eastAsia" w:ascii="宋体" w:hAnsi="宋体" w:eastAsia="宋体" w:cs="宋体"/>
          <w:color w:val="auto"/>
          <w:szCs w:val="21"/>
          <w:highlight w:val="none"/>
        </w:rPr>
      </w:pPr>
    </w:p>
    <w:p>
      <w:pPr>
        <w:pStyle w:val="125"/>
        <w:rPr>
          <w:rFonts w:hint="eastAsia" w:ascii="宋体" w:hAnsi="宋体" w:eastAsia="宋体" w:cs="宋体"/>
          <w:color w:val="auto"/>
          <w:szCs w:val="21"/>
          <w:highlight w:val="none"/>
        </w:rPr>
      </w:pPr>
    </w:p>
    <w:bookmarkEnd w:id="52"/>
    <w:bookmarkEnd w:id="53"/>
    <w:p>
      <w:pPr>
        <w:adjustRightInd w:val="0"/>
        <w:snapToGrid w:val="0"/>
        <w:spacing w:line="360" w:lineRule="auto"/>
        <w:ind w:right="1050" w:rightChars="500"/>
        <w:outlineLvl w:val="1"/>
        <w:rPr>
          <w:rFonts w:hint="eastAsia" w:ascii="宋体" w:hAnsi="宋体" w:eastAsia="宋体" w:cs="宋体"/>
          <w:b/>
          <w:bCs/>
          <w:color w:val="auto"/>
          <w:sz w:val="28"/>
          <w:szCs w:val="28"/>
          <w:highlight w:val="none"/>
          <w:lang w:val="en-US" w:eastAsia="zh-CN"/>
        </w:rPr>
      </w:pPr>
      <w:bookmarkStart w:id="54" w:name="_Toc533340158"/>
      <w:bookmarkStart w:id="55" w:name="_Toc4485634"/>
      <w:r>
        <w:rPr>
          <w:rFonts w:hint="eastAsia" w:ascii="宋体" w:hAnsi="宋体" w:eastAsia="宋体" w:cs="宋体"/>
          <w:b/>
          <w:bCs/>
          <w:color w:val="auto"/>
          <w:sz w:val="28"/>
          <w:szCs w:val="28"/>
          <w:highlight w:val="none"/>
        </w:rPr>
        <w:t>格式</w:t>
      </w:r>
      <w:bookmarkEnd w:id="54"/>
      <w:bookmarkEnd w:id="55"/>
      <w:r>
        <w:rPr>
          <w:rFonts w:hint="eastAsia" w:ascii="宋体" w:hAnsi="宋体" w:eastAsia="宋体" w:cs="宋体"/>
          <w:b/>
          <w:bCs/>
          <w:color w:val="auto"/>
          <w:sz w:val="28"/>
          <w:szCs w:val="28"/>
          <w:highlight w:val="none"/>
          <w:lang w:val="en-US" w:eastAsia="zh-CN"/>
        </w:rPr>
        <w:t>9</w:t>
      </w:r>
    </w:p>
    <w:p>
      <w:pPr>
        <w:adjustRightInd w:val="0"/>
        <w:snapToGrid w:val="0"/>
        <w:spacing w:before="319" w:beforeLines="100" w:after="319" w:afterLines="100" w:line="360" w:lineRule="auto"/>
        <w:ind w:right="105" w:rightChars="50"/>
        <w:jc w:val="center"/>
        <w:rPr>
          <w:rFonts w:hint="eastAsia" w:ascii="宋体" w:hAnsi="宋体" w:eastAsia="宋体" w:cs="宋体"/>
          <w:b/>
          <w:bCs/>
          <w:color w:val="auto"/>
          <w:sz w:val="32"/>
          <w:szCs w:val="32"/>
          <w:highlight w:val="none"/>
        </w:rPr>
      </w:pPr>
      <w:bookmarkStart w:id="56" w:name="_Toc4541_WPSOffice_Level2"/>
      <w:bookmarkStart w:id="57" w:name="_Toc19164_WPSOffice_Level2"/>
      <w:r>
        <w:rPr>
          <w:rFonts w:hint="eastAsia" w:ascii="宋体" w:hAnsi="宋体" w:eastAsia="宋体" w:cs="宋体"/>
          <w:b/>
          <w:bCs/>
          <w:color w:val="auto"/>
          <w:sz w:val="32"/>
          <w:szCs w:val="32"/>
          <w:highlight w:val="none"/>
        </w:rPr>
        <w:t>中小企业声明函</w:t>
      </w:r>
      <w:bookmarkEnd w:id="56"/>
      <w:bookmarkEnd w:id="57"/>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2" w:afterAutospacing="0" w:line="560" w:lineRule="atLeast"/>
        <w:ind w:left="0" w:right="0" w:firstLine="640"/>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本公司（联合体）郑重声明，根据《政府采购促进中小企业发展管理办法》（财库﹝2020﹞46号）的规定，本公司（联合体）参加</w:t>
      </w:r>
      <w:r>
        <w:rPr>
          <w:rStyle w:val="46"/>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（单位名称）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的</w:t>
      </w:r>
      <w:r>
        <w:rPr>
          <w:rStyle w:val="46"/>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（项目名称）</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2"/>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 xml:space="preserve"> 1.</w:t>
      </w:r>
      <w:r>
        <w:rPr>
          <w:rStyle w:val="46"/>
          <w:rFonts w:hint="eastAsia" w:ascii="宋体" w:hAnsi="宋体" w:eastAsia="宋体" w:cs="宋体"/>
          <w:b w:val="0"/>
          <w:bCs w:val="0"/>
          <w:i w:val="0"/>
          <w:iCs w:val="0"/>
          <w:caps w:val="0"/>
          <w:color w:val="333333"/>
          <w:spacing w:val="0"/>
          <w:kern w:val="0"/>
          <w:sz w:val="21"/>
          <w:szCs w:val="21"/>
          <w:highlight w:val="none"/>
          <w:u w:val="single"/>
          <w:shd w:val="clear" w:color="auto" w:fill="FFFFFF"/>
          <w:lang w:val="en-US" w:eastAsia="zh-CN" w:bidi="ar"/>
        </w:rPr>
        <w:t>（标的名称）</w:t>
      </w:r>
      <w:r>
        <w:rPr>
          <w:rFonts w:hint="eastAsia" w:ascii="宋体" w:hAnsi="宋体" w:eastAsia="宋体" w:cs="宋体"/>
          <w:b w:val="0"/>
          <w:bCs w:val="0"/>
          <w:i w:val="0"/>
          <w:iCs w:val="0"/>
          <w:caps w:val="0"/>
          <w:color w:val="333333"/>
          <w:spacing w:val="0"/>
          <w:kern w:val="0"/>
          <w:sz w:val="21"/>
          <w:szCs w:val="21"/>
          <w:highlight w:val="none"/>
          <w:shd w:val="clear" w:color="auto" w:fill="FFFFFF"/>
          <w:lang w:val="en-US" w:eastAsia="zh-CN" w:bidi="ar"/>
        </w:rPr>
        <w:t>，属于</w:t>
      </w:r>
      <w:r>
        <w:rPr>
          <w:rStyle w:val="46"/>
          <w:rFonts w:hint="eastAsia" w:ascii="宋体" w:hAnsi="宋体" w:eastAsia="宋体" w:cs="宋体"/>
          <w:b w:val="0"/>
          <w:bCs w:val="0"/>
          <w:i w:val="0"/>
          <w:iCs w:val="0"/>
          <w:caps w:val="0"/>
          <w:color w:val="333333"/>
          <w:spacing w:val="0"/>
          <w:kern w:val="0"/>
          <w:sz w:val="21"/>
          <w:szCs w:val="21"/>
          <w:highlight w:val="none"/>
          <w:u w:val="single"/>
          <w:shd w:val="clear" w:color="auto" w:fill="FFFFFF"/>
          <w:lang w:val="en-US" w:eastAsia="zh-CN" w:bidi="ar"/>
        </w:rPr>
        <w:t>（采购文件中明确的所属行业）</w:t>
      </w:r>
      <w:r>
        <w:rPr>
          <w:rFonts w:hint="eastAsia" w:ascii="宋体" w:hAnsi="宋体" w:eastAsia="宋体" w:cs="宋体"/>
          <w:b w:val="0"/>
          <w:bCs w:val="0"/>
          <w:i w:val="0"/>
          <w:iCs w:val="0"/>
          <w:caps w:val="0"/>
          <w:color w:val="333333"/>
          <w:spacing w:val="0"/>
          <w:kern w:val="0"/>
          <w:sz w:val="21"/>
          <w:szCs w:val="21"/>
          <w:highlight w:val="none"/>
          <w:shd w:val="clear" w:color="auto" w:fill="FFFFFF"/>
          <w:lang w:val="en-US" w:eastAsia="zh-CN" w:bidi="ar"/>
        </w:rPr>
        <w:t>；承建（承接）企业为</w:t>
      </w:r>
      <w:r>
        <w:rPr>
          <w:rStyle w:val="46"/>
          <w:rFonts w:hint="eastAsia" w:ascii="宋体" w:hAnsi="宋体" w:eastAsia="宋体" w:cs="宋体"/>
          <w:b w:val="0"/>
          <w:bCs w:val="0"/>
          <w:i w:val="0"/>
          <w:iCs w:val="0"/>
          <w:caps w:val="0"/>
          <w:color w:val="333333"/>
          <w:spacing w:val="0"/>
          <w:kern w:val="0"/>
          <w:sz w:val="21"/>
          <w:szCs w:val="21"/>
          <w:highlight w:val="none"/>
          <w:u w:val="single"/>
          <w:shd w:val="clear" w:color="auto" w:fill="FFFFFF"/>
          <w:lang w:val="en-US" w:eastAsia="zh-CN" w:bidi="ar"/>
        </w:rPr>
        <w:t>（企业名称）</w:t>
      </w:r>
      <w:r>
        <w:rPr>
          <w:rFonts w:hint="eastAsia" w:ascii="宋体" w:hAnsi="宋体" w:eastAsia="宋体" w:cs="宋体"/>
          <w:b w:val="0"/>
          <w:bCs w:val="0"/>
          <w:i w:val="0"/>
          <w:iCs w:val="0"/>
          <w:caps w:val="0"/>
          <w:color w:val="333333"/>
          <w:spacing w:val="0"/>
          <w:kern w:val="0"/>
          <w:sz w:val="21"/>
          <w:szCs w:val="21"/>
          <w:highlight w:val="none"/>
          <w:shd w:val="clear" w:color="auto" w:fill="FFFFFF"/>
          <w:lang w:val="en-US" w:eastAsia="zh-CN" w:bidi="ar"/>
        </w:rPr>
        <w:t>，从业人员</w:t>
      </w:r>
      <w:r>
        <w:rPr>
          <w:rFonts w:hint="eastAsia" w:ascii="宋体" w:hAnsi="宋体" w:eastAsia="宋体" w:cs="宋体"/>
          <w:b w:val="0"/>
          <w:bCs w:val="0"/>
          <w:i w:val="0"/>
          <w:iCs w:val="0"/>
          <w:caps w:val="0"/>
          <w:color w:val="333333"/>
          <w:spacing w:val="0"/>
          <w:kern w:val="0"/>
          <w:sz w:val="21"/>
          <w:szCs w:val="21"/>
          <w:highlight w:val="none"/>
          <w:u w:val="single"/>
          <w:shd w:val="clear" w:color="auto" w:fill="FFFFFF"/>
          <w:lang w:val="en-US" w:eastAsia="zh-CN" w:bidi="ar"/>
        </w:rPr>
        <w:t xml:space="preserve">         </w:t>
      </w:r>
      <w:r>
        <w:rPr>
          <w:rFonts w:hint="eastAsia" w:ascii="宋体" w:hAnsi="宋体" w:eastAsia="宋体" w:cs="宋体"/>
          <w:b w:val="0"/>
          <w:bCs w:val="0"/>
          <w:i w:val="0"/>
          <w:iCs w:val="0"/>
          <w:caps w:val="0"/>
          <w:color w:val="333333"/>
          <w:spacing w:val="0"/>
          <w:kern w:val="0"/>
          <w:sz w:val="21"/>
          <w:szCs w:val="21"/>
          <w:highlight w:val="none"/>
          <w:shd w:val="clear" w:color="auto" w:fill="FFFFFF"/>
          <w:lang w:val="en-US" w:eastAsia="zh-CN" w:bidi="ar"/>
        </w:rPr>
        <w:t>人，营业收入为万元，资产总额为</w:t>
      </w:r>
      <w:r>
        <w:rPr>
          <w:rFonts w:hint="eastAsia" w:ascii="宋体" w:hAnsi="宋体" w:eastAsia="宋体" w:cs="宋体"/>
          <w:b w:val="0"/>
          <w:bCs w:val="0"/>
          <w:i w:val="0"/>
          <w:iCs w:val="0"/>
          <w:caps w:val="0"/>
          <w:color w:val="333333"/>
          <w:spacing w:val="0"/>
          <w:kern w:val="0"/>
          <w:sz w:val="21"/>
          <w:szCs w:val="21"/>
          <w:highlight w:val="none"/>
          <w:u w:val="single"/>
          <w:shd w:val="clear" w:color="auto" w:fill="FFFFFF"/>
          <w:lang w:val="en-US" w:eastAsia="zh-CN" w:bidi="ar"/>
        </w:rPr>
        <w:t xml:space="preserve">       </w:t>
      </w:r>
      <w:r>
        <w:rPr>
          <w:rFonts w:hint="eastAsia" w:ascii="宋体" w:hAnsi="宋体" w:eastAsia="宋体" w:cs="宋体"/>
          <w:b w:val="0"/>
          <w:bCs w:val="0"/>
          <w:i w:val="0"/>
          <w:iCs w:val="0"/>
          <w:caps w:val="0"/>
          <w:color w:val="333333"/>
          <w:spacing w:val="0"/>
          <w:kern w:val="0"/>
          <w:sz w:val="21"/>
          <w:szCs w:val="21"/>
          <w:highlight w:val="none"/>
          <w:shd w:val="clear" w:color="auto" w:fill="FFFFFF"/>
          <w:lang w:val="en-US" w:eastAsia="zh-CN" w:bidi="ar"/>
        </w:rPr>
        <w:t>万元，属于</w:t>
      </w:r>
      <w:r>
        <w:rPr>
          <w:rStyle w:val="46"/>
          <w:rFonts w:hint="eastAsia" w:ascii="宋体" w:hAnsi="宋体" w:eastAsia="宋体" w:cs="宋体"/>
          <w:b w:val="0"/>
          <w:bCs w:val="0"/>
          <w:i w:val="0"/>
          <w:iCs w:val="0"/>
          <w:caps w:val="0"/>
          <w:color w:val="333333"/>
          <w:spacing w:val="0"/>
          <w:kern w:val="0"/>
          <w:sz w:val="21"/>
          <w:szCs w:val="21"/>
          <w:highlight w:val="none"/>
          <w:u w:val="single"/>
          <w:shd w:val="clear" w:color="auto" w:fill="FFFFFF"/>
          <w:lang w:val="en-US" w:eastAsia="zh-CN" w:bidi="ar"/>
        </w:rPr>
        <w:t>（中型企业、小型企业、微型企业）</w:t>
      </w:r>
      <w:r>
        <w:rPr>
          <w:rFonts w:hint="eastAsia" w:ascii="宋体" w:hAnsi="宋体" w:eastAsia="宋体" w:cs="宋体"/>
          <w:b w:val="0"/>
          <w:bCs w:val="0"/>
          <w:i w:val="0"/>
          <w:iCs w:val="0"/>
          <w:caps w:val="0"/>
          <w:color w:val="333333"/>
          <w:spacing w:val="0"/>
          <w:kern w:val="0"/>
          <w:sz w:val="21"/>
          <w:szCs w:val="21"/>
          <w:highlight w:val="none"/>
          <w:shd w:val="clear" w:color="auto"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512"/>
        <w:jc w:val="left"/>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b w:val="0"/>
          <w:bCs w:val="0"/>
          <w:i w:val="0"/>
          <w:iCs w:val="0"/>
          <w:caps w:val="0"/>
          <w:color w:val="333333"/>
          <w:spacing w:val="0"/>
          <w:kern w:val="0"/>
          <w:sz w:val="21"/>
          <w:szCs w:val="21"/>
          <w:highlight w:val="none"/>
          <w:shd w:val="clear" w:color="auto" w:fill="FFFFFF"/>
          <w:lang w:val="en-US" w:eastAsia="zh-CN" w:bidi="ar"/>
        </w:rPr>
        <w:t xml:space="preserve"> 2.</w:t>
      </w:r>
      <w:r>
        <w:rPr>
          <w:rStyle w:val="46"/>
          <w:rFonts w:hint="eastAsia" w:ascii="宋体" w:hAnsi="宋体" w:eastAsia="宋体" w:cs="宋体"/>
          <w:b w:val="0"/>
          <w:bCs w:val="0"/>
          <w:i w:val="0"/>
          <w:iCs w:val="0"/>
          <w:caps w:val="0"/>
          <w:color w:val="333333"/>
          <w:spacing w:val="0"/>
          <w:kern w:val="0"/>
          <w:sz w:val="21"/>
          <w:szCs w:val="21"/>
          <w:highlight w:val="none"/>
          <w:u w:val="single"/>
          <w:shd w:val="clear" w:color="auto" w:fill="FFFFFF"/>
          <w:lang w:val="en-US" w:eastAsia="zh-CN" w:bidi="ar"/>
        </w:rPr>
        <w:t>（标的名称）</w:t>
      </w:r>
      <w:r>
        <w:rPr>
          <w:rFonts w:hint="eastAsia" w:ascii="宋体" w:hAnsi="宋体" w:eastAsia="宋体" w:cs="宋体"/>
          <w:b w:val="0"/>
          <w:bCs w:val="0"/>
          <w:i w:val="0"/>
          <w:iCs w:val="0"/>
          <w:caps w:val="0"/>
          <w:color w:val="333333"/>
          <w:spacing w:val="0"/>
          <w:kern w:val="0"/>
          <w:sz w:val="21"/>
          <w:szCs w:val="21"/>
          <w:highlight w:val="none"/>
          <w:shd w:val="clear" w:color="auto" w:fill="FFFFFF"/>
          <w:lang w:val="en-US" w:eastAsia="zh-CN" w:bidi="ar"/>
        </w:rPr>
        <w:t>，属于</w:t>
      </w:r>
      <w:r>
        <w:rPr>
          <w:rStyle w:val="46"/>
          <w:rFonts w:hint="eastAsia" w:ascii="宋体" w:hAnsi="宋体" w:eastAsia="宋体" w:cs="宋体"/>
          <w:i w:val="0"/>
          <w:iCs w:val="0"/>
          <w:caps w:val="0"/>
          <w:color w:val="333333"/>
          <w:spacing w:val="0"/>
          <w:kern w:val="0"/>
          <w:sz w:val="21"/>
          <w:szCs w:val="21"/>
          <w:highlight w:val="none"/>
          <w:u w:val="single"/>
          <w:shd w:val="clear" w:color="auto" w:fill="FFFFFF"/>
          <w:lang w:val="en-US" w:eastAsia="zh-CN" w:bidi="ar"/>
        </w:rPr>
        <w:t>（采购文件中明确的所属行业）</w:t>
      </w:r>
      <w:r>
        <w:rPr>
          <w:rFonts w:hint="eastAsia" w:ascii="宋体" w:hAnsi="宋体" w:eastAsia="宋体" w:cs="宋体"/>
          <w:b w:val="0"/>
          <w:bCs w:val="0"/>
          <w:i w:val="0"/>
          <w:iCs w:val="0"/>
          <w:caps w:val="0"/>
          <w:color w:val="333333"/>
          <w:spacing w:val="0"/>
          <w:kern w:val="0"/>
          <w:sz w:val="21"/>
          <w:szCs w:val="21"/>
          <w:highlight w:val="none"/>
          <w:shd w:val="clear" w:color="auto" w:fill="FFFFFF"/>
          <w:lang w:val="en-US" w:eastAsia="zh-CN" w:bidi="ar"/>
        </w:rPr>
        <w:t>；</w:t>
      </w:r>
      <w:r>
        <w:rPr>
          <w:rFonts w:hint="eastAsia" w:ascii="宋体" w:hAnsi="宋体" w:eastAsia="宋体" w:cs="宋体"/>
          <w:i w:val="0"/>
          <w:iCs w:val="0"/>
          <w:caps w:val="0"/>
          <w:color w:val="333333"/>
          <w:spacing w:val="0"/>
          <w:kern w:val="0"/>
          <w:sz w:val="21"/>
          <w:szCs w:val="21"/>
          <w:highlight w:val="none"/>
          <w:shd w:val="clear" w:color="auto" w:fill="FFFFFF"/>
          <w:lang w:val="en-US" w:eastAsia="zh-CN" w:bidi="ar"/>
        </w:rPr>
        <w:t>承建（承接）企业为</w:t>
      </w:r>
      <w:r>
        <w:rPr>
          <w:rStyle w:val="46"/>
          <w:rFonts w:hint="eastAsia" w:ascii="宋体" w:hAnsi="宋体" w:eastAsia="宋体" w:cs="宋体"/>
          <w:b w:val="0"/>
          <w:bCs w:val="0"/>
          <w:i w:val="0"/>
          <w:iCs w:val="0"/>
          <w:caps w:val="0"/>
          <w:color w:val="333333"/>
          <w:spacing w:val="0"/>
          <w:kern w:val="0"/>
          <w:sz w:val="21"/>
          <w:szCs w:val="21"/>
          <w:highlight w:val="none"/>
          <w:u w:val="single"/>
          <w:shd w:val="clear" w:color="auto" w:fill="FFFFFF"/>
          <w:lang w:val="en-US" w:eastAsia="zh-CN" w:bidi="ar"/>
        </w:rPr>
        <w:t>（企业名称）</w:t>
      </w:r>
      <w:r>
        <w:rPr>
          <w:rFonts w:hint="eastAsia" w:ascii="宋体" w:hAnsi="宋体" w:eastAsia="宋体" w:cs="宋体"/>
          <w:b w:val="0"/>
          <w:bCs w:val="0"/>
          <w:i w:val="0"/>
          <w:iCs w:val="0"/>
          <w:caps w:val="0"/>
          <w:color w:val="333333"/>
          <w:spacing w:val="0"/>
          <w:kern w:val="0"/>
          <w:sz w:val="21"/>
          <w:szCs w:val="21"/>
          <w:highlight w:val="none"/>
          <w:shd w:val="clear" w:color="auto" w:fill="FFFFFF"/>
          <w:lang w:val="en-US" w:eastAsia="zh-CN" w:bidi="ar"/>
        </w:rPr>
        <w:t>，从业人员</w:t>
      </w:r>
      <w:r>
        <w:rPr>
          <w:rStyle w:val="46"/>
          <w:rFonts w:hint="eastAsia" w:ascii="宋体" w:hAnsi="宋体" w:eastAsia="宋体" w:cs="宋体"/>
          <w:b w:val="0"/>
          <w:bCs w:val="0"/>
          <w:i w:val="0"/>
          <w:iCs w:val="0"/>
          <w:caps w:val="0"/>
          <w:color w:val="333333"/>
          <w:spacing w:val="0"/>
          <w:kern w:val="0"/>
          <w:sz w:val="21"/>
          <w:szCs w:val="21"/>
          <w:highlight w:val="none"/>
          <w:u w:val="single"/>
          <w:shd w:val="clear" w:color="auto" w:fill="FFFFFF"/>
          <w:lang w:val="en-US" w:eastAsia="zh-CN" w:bidi="ar"/>
        </w:rPr>
        <w:t xml:space="preserve">      </w:t>
      </w:r>
      <w:r>
        <w:rPr>
          <w:rFonts w:hint="eastAsia" w:ascii="宋体" w:hAnsi="宋体" w:eastAsia="宋体" w:cs="宋体"/>
          <w:b w:val="0"/>
          <w:bCs w:val="0"/>
          <w:i w:val="0"/>
          <w:iCs w:val="0"/>
          <w:caps w:val="0"/>
          <w:color w:val="333333"/>
          <w:spacing w:val="0"/>
          <w:kern w:val="0"/>
          <w:sz w:val="21"/>
          <w:szCs w:val="21"/>
          <w:highlight w:val="none"/>
          <w:shd w:val="clear" w:color="auto" w:fill="FFFFFF"/>
          <w:lang w:val="en-US" w:eastAsia="zh-CN" w:bidi="ar"/>
        </w:rPr>
        <w:t xml:space="preserve"> 人，营业收入为</w:t>
      </w:r>
      <w:r>
        <w:rPr>
          <w:rFonts w:hint="eastAsia" w:ascii="宋体" w:hAnsi="宋体" w:eastAsia="宋体" w:cs="宋体"/>
          <w:b w:val="0"/>
          <w:bCs w:val="0"/>
          <w:i w:val="0"/>
          <w:iCs w:val="0"/>
          <w:caps w:val="0"/>
          <w:color w:val="333333"/>
          <w:spacing w:val="0"/>
          <w:kern w:val="0"/>
          <w:sz w:val="21"/>
          <w:szCs w:val="21"/>
          <w:highlight w:val="none"/>
          <w:u w:val="single"/>
          <w:shd w:val="clear" w:color="auto" w:fill="FFFFFF"/>
          <w:lang w:val="en-US" w:eastAsia="zh-CN" w:bidi="ar"/>
        </w:rPr>
        <w:t xml:space="preserve">       </w:t>
      </w:r>
      <w:r>
        <w:rPr>
          <w:rFonts w:hint="eastAsia" w:ascii="宋体" w:hAnsi="宋体" w:eastAsia="宋体" w:cs="宋体"/>
          <w:b w:val="0"/>
          <w:bCs w:val="0"/>
          <w:i w:val="0"/>
          <w:iCs w:val="0"/>
          <w:caps w:val="0"/>
          <w:color w:val="333333"/>
          <w:spacing w:val="0"/>
          <w:kern w:val="0"/>
          <w:sz w:val="21"/>
          <w:szCs w:val="21"/>
          <w:highlight w:val="none"/>
          <w:shd w:val="clear" w:color="auto" w:fill="FFFFFF"/>
          <w:lang w:val="en-US" w:eastAsia="zh-CN" w:bidi="ar"/>
        </w:rPr>
        <w:t>万元，资产总额为</w:t>
      </w:r>
      <w:r>
        <w:rPr>
          <w:rFonts w:hint="eastAsia" w:ascii="宋体" w:hAnsi="宋体" w:eastAsia="宋体" w:cs="宋体"/>
          <w:b w:val="0"/>
          <w:bCs w:val="0"/>
          <w:i w:val="0"/>
          <w:iCs w:val="0"/>
          <w:caps w:val="0"/>
          <w:color w:val="333333"/>
          <w:spacing w:val="0"/>
          <w:kern w:val="0"/>
          <w:sz w:val="21"/>
          <w:szCs w:val="21"/>
          <w:highlight w:val="none"/>
          <w:u w:val="single"/>
          <w:shd w:val="clear" w:color="auto" w:fill="FFFFFF"/>
          <w:lang w:val="en-US" w:eastAsia="zh-CN" w:bidi="ar"/>
        </w:rPr>
        <w:t xml:space="preserve">        </w:t>
      </w:r>
      <w:r>
        <w:rPr>
          <w:rFonts w:hint="eastAsia" w:ascii="宋体" w:hAnsi="宋体" w:eastAsia="宋体" w:cs="宋体"/>
          <w:b w:val="0"/>
          <w:bCs w:val="0"/>
          <w:i w:val="0"/>
          <w:iCs w:val="0"/>
          <w:caps w:val="0"/>
          <w:color w:val="333333"/>
          <w:spacing w:val="0"/>
          <w:kern w:val="0"/>
          <w:sz w:val="21"/>
          <w:szCs w:val="21"/>
          <w:highlight w:val="none"/>
          <w:shd w:val="clear" w:color="auto" w:fill="FFFFFF"/>
          <w:lang w:val="en-US" w:eastAsia="zh-CN" w:bidi="ar"/>
        </w:rPr>
        <w:t>万元，属于</w:t>
      </w:r>
      <w:r>
        <w:rPr>
          <w:rStyle w:val="46"/>
          <w:rFonts w:hint="eastAsia" w:ascii="宋体" w:hAnsi="宋体" w:eastAsia="宋体" w:cs="宋体"/>
          <w:b w:val="0"/>
          <w:bCs w:val="0"/>
          <w:i w:val="0"/>
          <w:iCs w:val="0"/>
          <w:caps w:val="0"/>
          <w:color w:val="333333"/>
          <w:spacing w:val="0"/>
          <w:kern w:val="0"/>
          <w:sz w:val="21"/>
          <w:szCs w:val="21"/>
          <w:highlight w:val="none"/>
          <w:u w:val="single"/>
          <w:shd w:val="clear" w:color="auto" w:fill="FFFFFF"/>
          <w:lang w:val="en-US" w:eastAsia="zh-CN" w:bidi="ar"/>
        </w:rPr>
        <w:t>（中型企业、小型企业、微型企业）</w:t>
      </w:r>
      <w:r>
        <w:rPr>
          <w:rFonts w:hint="eastAsia" w:ascii="宋体" w:hAnsi="宋体" w:eastAsia="宋体" w:cs="宋体"/>
          <w:b w:val="0"/>
          <w:bCs w:val="0"/>
          <w:i w:val="0"/>
          <w:iCs w:val="0"/>
          <w:caps w:val="0"/>
          <w:color w:val="333333"/>
          <w:spacing w:val="0"/>
          <w:kern w:val="0"/>
          <w:sz w:val="21"/>
          <w:szCs w:val="21"/>
          <w:highlight w:val="none"/>
          <w:shd w:val="clear" w:color="auto" w:fill="FFFFFF"/>
          <w:lang w:val="en-US" w:eastAsia="zh-CN" w:bidi="ar"/>
        </w:rPr>
        <w:t>；</w:t>
      </w:r>
    </w:p>
    <w:p>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2" w:afterAutospacing="0" w:line="396" w:lineRule="atLeast"/>
        <w:ind w:left="0" w:right="0" w:firstLine="0"/>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color="auto" w:fill="FFFFFF"/>
        </w:rPr>
        <w:t>      ……</w:t>
      </w:r>
      <w:r>
        <w:rPr>
          <w:rFonts w:hint="eastAsia" w:ascii="宋体" w:hAnsi="宋体" w:eastAsia="宋体" w:cs="宋体"/>
          <w:i w:val="0"/>
          <w:iCs w:val="0"/>
          <w:caps w:val="0"/>
          <w:color w:val="333333"/>
          <w:spacing w:val="-1"/>
          <w:sz w:val="21"/>
          <w:szCs w:val="21"/>
          <w:highlight w:val="none"/>
          <w:shd w:val="clear" w:color="auto" w:fill="FFFFFF"/>
        </w:rPr>
        <w:t> </w:t>
      </w:r>
    </w:p>
    <w:p>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02" w:afterAutospacing="0" w:line="396" w:lineRule="atLeast"/>
        <w:ind w:left="0" w:right="0" w:firstLine="0"/>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1"/>
          <w:sz w:val="21"/>
          <w:szCs w:val="21"/>
          <w:highlight w:val="none"/>
          <w:shd w:val="clear" w:color="auto" w:fill="FFFFFF"/>
        </w:rPr>
        <w:t>     以上企业，不属于</w:t>
      </w:r>
      <w:r>
        <w:rPr>
          <w:rFonts w:hint="eastAsia" w:ascii="宋体" w:hAnsi="宋体" w:eastAsia="宋体" w:cs="宋体"/>
          <w:i w:val="0"/>
          <w:iCs w:val="0"/>
          <w:caps w:val="0"/>
          <w:color w:val="333333"/>
          <w:spacing w:val="0"/>
          <w:sz w:val="21"/>
          <w:szCs w:val="21"/>
          <w:highlight w:val="none"/>
          <w:shd w:val="clear" w:color="auto" w:fill="FFFFFF"/>
        </w:rPr>
        <w:t>大企业的分支机构，不存在控股股东为大企业的情形，也不存在与大企业的负责人为同一人的情形。</w:t>
      </w:r>
    </w:p>
    <w:p>
      <w:pPr>
        <w:pStyle w:val="3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03" w:beforeAutospacing="0" w:after="102" w:afterAutospacing="0" w:line="325" w:lineRule="atLeast"/>
        <w:ind w:left="0" w:right="0" w:firstLine="640"/>
        <w:rPr>
          <w:rFonts w:hint="eastAsia" w:ascii="宋体" w:hAnsi="宋体" w:eastAsia="宋体" w:cs="宋体"/>
          <w:i w:val="0"/>
          <w:iCs w:val="0"/>
          <w:caps w:val="0"/>
          <w:color w:val="333333"/>
          <w:spacing w:val="0"/>
          <w:sz w:val="21"/>
          <w:szCs w:val="21"/>
          <w:highlight w:val="none"/>
        </w:rPr>
      </w:pPr>
      <w:r>
        <w:rPr>
          <w:rFonts w:hint="eastAsia" w:ascii="宋体" w:hAnsi="宋体" w:eastAsia="宋体" w:cs="宋体"/>
          <w:i w:val="0"/>
          <w:iCs w:val="0"/>
          <w:caps w:val="0"/>
          <w:color w:val="333333"/>
          <w:spacing w:val="0"/>
          <w:sz w:val="21"/>
          <w:szCs w:val="21"/>
          <w:highlight w:val="none"/>
          <w:shd w:val="clear" w:color="auto" w:fill="FFFFFF"/>
        </w:rPr>
        <w:t>本企业对上述声明内容的真实性负责。如有虚假，将依法承担相应责任。</w:t>
      </w:r>
    </w:p>
    <w:p>
      <w:pPr>
        <w:autoSpaceDN w:val="0"/>
        <w:spacing w:line="440" w:lineRule="exact"/>
        <w:ind w:right="170"/>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480" w:lineRule="auto"/>
        <w:ind w:right="105" w:righ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供应商名称（加盖单位公章）：</w:t>
      </w:r>
      <w:r>
        <w:rPr>
          <w:rFonts w:hint="eastAsia" w:ascii="宋体" w:hAnsi="宋体" w:eastAsia="宋体" w:cs="宋体"/>
          <w:color w:val="auto"/>
          <w:szCs w:val="21"/>
          <w:highlight w:val="none"/>
          <w:u w:val="single"/>
        </w:rPr>
        <w:t xml:space="preserve">               </w:t>
      </w:r>
    </w:p>
    <w:p>
      <w:pPr>
        <w:adjustRightInd w:val="0"/>
        <w:snapToGrid w:val="0"/>
        <w:spacing w:line="480" w:lineRule="auto"/>
        <w:ind w:right="105" w:rightChars="5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p>
    <w:p>
      <w:pPr>
        <w:pStyle w:val="54"/>
        <w:rPr>
          <w:rFonts w:hint="eastAsia"/>
          <w:highlight w:val="none"/>
          <w:lang w:val="en-US" w:eastAsia="zh-CN"/>
        </w:rPr>
      </w:pPr>
      <w:r>
        <w:rPr>
          <w:rFonts w:hint="eastAsia" w:ascii="宋体" w:hAnsi="宋体" w:eastAsia="宋体" w:cs="宋体"/>
          <w:color w:val="auto"/>
          <w:szCs w:val="21"/>
          <w:highlight w:val="none"/>
        </w:rPr>
        <w:br w:type="page"/>
      </w:r>
    </w:p>
    <w:p>
      <w:pPr>
        <w:adjustRightInd w:val="0"/>
        <w:snapToGrid w:val="0"/>
        <w:spacing w:line="360" w:lineRule="auto"/>
        <w:ind w:right="1050" w:rightChars="500"/>
        <w:outlineLvl w:val="1"/>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格式</w:t>
      </w:r>
      <w:r>
        <w:rPr>
          <w:rFonts w:hint="eastAsia" w:ascii="宋体" w:hAnsi="宋体" w:cs="宋体"/>
          <w:b/>
          <w:bCs/>
          <w:color w:val="auto"/>
          <w:sz w:val="28"/>
          <w:szCs w:val="28"/>
          <w:highlight w:val="none"/>
          <w:lang w:val="en-US" w:eastAsia="zh-CN"/>
        </w:rPr>
        <w:t>10</w:t>
      </w:r>
    </w:p>
    <w:p>
      <w:pPr>
        <w:spacing w:before="319" w:beforeLines="100" w:after="319" w:afterLines="100" w:line="480" w:lineRule="exact"/>
        <w:ind w:right="-21" w:rightChars="-1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响应函</w:t>
      </w:r>
    </w:p>
    <w:p>
      <w:pPr>
        <w:adjustRightInd w:val="0"/>
        <w:snapToGrid w:val="0"/>
        <w:spacing w:line="360" w:lineRule="auto"/>
        <w:ind w:right="630" w:rightChars="3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（采购人或采购代理机构）：</w:t>
      </w:r>
    </w:p>
    <w:p>
      <w:pPr>
        <w:adjustRightInd w:val="0"/>
        <w:snapToGrid w:val="0"/>
        <w:spacing w:line="360" w:lineRule="auto"/>
        <w:ind w:right="-21" w:rightChars="-1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根据贵方</w:t>
      </w:r>
      <w:r>
        <w:rPr>
          <w:rFonts w:hint="eastAsia" w:ascii="宋体" w:hAnsi="宋体" w:eastAsia="宋体" w:cs="宋体"/>
          <w:color w:val="auto"/>
          <w:szCs w:val="21"/>
          <w:highlight w:val="none"/>
          <w:u w:val="single"/>
        </w:rPr>
        <w:t xml:space="preserve">   (项目名称  )</w:t>
      </w:r>
      <w:r>
        <w:rPr>
          <w:rFonts w:hint="eastAsia" w:ascii="宋体" w:hAnsi="宋体" w:eastAsia="宋体" w:cs="宋体"/>
          <w:color w:val="auto"/>
          <w:szCs w:val="21"/>
          <w:highlight w:val="none"/>
        </w:rPr>
        <w:t>项目的采购公告</w:t>
      </w:r>
      <w:r>
        <w:rPr>
          <w:rFonts w:hint="eastAsia" w:ascii="宋体" w:hAnsi="宋体" w:eastAsia="宋体" w:cs="宋体"/>
          <w:color w:val="auto"/>
          <w:szCs w:val="21"/>
          <w:highlight w:val="none"/>
          <w:u w:val="single"/>
        </w:rPr>
        <w:t xml:space="preserve">  (项目编号  ),</w:t>
      </w:r>
      <w:r>
        <w:rPr>
          <w:rFonts w:hint="eastAsia" w:ascii="宋体" w:hAnsi="宋体" w:eastAsia="宋体" w:cs="宋体"/>
          <w:color w:val="auto"/>
          <w:szCs w:val="21"/>
          <w:highlight w:val="none"/>
        </w:rPr>
        <w:t>签字代表</w:t>
      </w:r>
      <w:r>
        <w:rPr>
          <w:rFonts w:hint="eastAsia" w:ascii="宋体" w:hAnsi="宋体" w:eastAsia="宋体" w:cs="宋体"/>
          <w:color w:val="auto"/>
          <w:szCs w:val="21"/>
          <w:highlight w:val="none"/>
          <w:u w:val="single"/>
        </w:rPr>
        <w:t xml:space="preserve">  (姓名、职务</w:t>
      </w:r>
      <w:r>
        <w:rPr>
          <w:rFonts w:hint="eastAsia" w:ascii="宋体" w:hAnsi="宋体" w:eastAsia="宋体" w:cs="宋体"/>
          <w:color w:val="auto"/>
          <w:szCs w:val="21"/>
          <w:highlight w:val="none"/>
        </w:rPr>
        <w:t>)经正式授权并代表供应商</w:t>
      </w:r>
      <w:r>
        <w:rPr>
          <w:rFonts w:hint="eastAsia" w:ascii="宋体" w:hAnsi="宋体" w:eastAsia="宋体" w:cs="宋体"/>
          <w:color w:val="auto"/>
          <w:szCs w:val="21"/>
          <w:highlight w:val="none"/>
          <w:u w:val="single"/>
        </w:rPr>
        <w:t>（名称、地址）</w:t>
      </w:r>
      <w:r>
        <w:rPr>
          <w:rFonts w:hint="eastAsia" w:ascii="宋体" w:hAnsi="宋体" w:eastAsia="宋体" w:cs="宋体"/>
          <w:color w:val="auto"/>
          <w:szCs w:val="21"/>
          <w:highlight w:val="none"/>
        </w:rPr>
        <w:t>提交电子文档</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份，并以</w:t>
      </w:r>
      <w:r>
        <w:rPr>
          <w:rFonts w:hint="eastAsia" w:ascii="宋体" w:hAnsi="宋体" w:cs="宋体"/>
          <w:color w:val="auto"/>
          <w:szCs w:val="21"/>
          <w:highlight w:val="none"/>
          <w:u w:val="single"/>
          <w:lang w:val="en-US" w:eastAsia="zh-CN"/>
        </w:rPr>
        <w:t xml:space="preserve"> / </w:t>
      </w:r>
      <w:r>
        <w:rPr>
          <w:rFonts w:hint="eastAsia" w:ascii="宋体" w:hAnsi="宋体" w:eastAsia="宋体" w:cs="宋体"/>
          <w:color w:val="auto"/>
          <w:szCs w:val="21"/>
          <w:highlight w:val="none"/>
        </w:rPr>
        <w:t>形式出具的金额为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人民币</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元的磋商保证金。</w:t>
      </w:r>
    </w:p>
    <w:p>
      <w:pPr>
        <w:adjustRightInd w:val="0"/>
        <w:snapToGrid w:val="0"/>
        <w:spacing w:line="360" w:lineRule="auto"/>
        <w:ind w:right="-21" w:rightChars="-1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据此，签字代表宣布同意如下：</w:t>
      </w:r>
    </w:p>
    <w:p>
      <w:pPr>
        <w:adjustRightInd w:val="0"/>
        <w:snapToGrid w:val="0"/>
        <w:spacing w:line="360" w:lineRule="auto"/>
        <w:ind w:right="-21" w:rightChars="-1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（1）本项目响应总价详见报价一览表。</w:t>
      </w:r>
    </w:p>
    <w:p>
      <w:pPr>
        <w:adjustRightInd w:val="0"/>
        <w:snapToGrid w:val="0"/>
        <w:spacing w:line="360" w:lineRule="auto"/>
        <w:ind w:right="-21" w:rightChars="-1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（2）本项目有效期为自递交响应文件截止之日起</w:t>
      </w:r>
      <w:r>
        <w:rPr>
          <w:rFonts w:hint="eastAsia" w:ascii="宋体" w:hAnsi="宋体" w:cs="宋体"/>
          <w:color w:val="auto"/>
          <w:szCs w:val="21"/>
          <w:highlight w:val="none"/>
          <w:u w:val="single"/>
          <w:lang w:val="en-US" w:eastAsia="zh-CN"/>
        </w:rPr>
        <w:t xml:space="preserve"> 90日历天</w:t>
      </w:r>
      <w:r>
        <w:rPr>
          <w:rFonts w:hint="eastAsia" w:ascii="宋体" w:hAnsi="宋体" w:eastAsia="宋体" w:cs="宋体"/>
          <w:color w:val="auto"/>
          <w:szCs w:val="21"/>
          <w:highlight w:val="none"/>
        </w:rPr>
        <w:t>。</w:t>
      </w:r>
    </w:p>
    <w:p>
      <w:pPr>
        <w:adjustRightInd w:val="0"/>
        <w:snapToGrid w:val="0"/>
        <w:spacing w:line="360" w:lineRule="auto"/>
        <w:ind w:right="-21" w:rightChars="-1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（3）已详细审查全部采购文件，包括所有补充通知（如果有的话）。</w:t>
      </w:r>
    </w:p>
    <w:p>
      <w:pPr>
        <w:adjustRightInd w:val="0"/>
        <w:snapToGrid w:val="0"/>
        <w:spacing w:line="360" w:lineRule="auto"/>
        <w:ind w:right="-21" w:rightChars="-1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（4）在规定的磋商时间后，遵守采购文件中有关保证金的规定。</w:t>
      </w:r>
    </w:p>
    <w:p>
      <w:pPr>
        <w:adjustRightInd w:val="0"/>
        <w:snapToGrid w:val="0"/>
        <w:spacing w:line="360" w:lineRule="auto"/>
        <w:ind w:right="-21" w:rightChars="-1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（5）我方不是为本项目提供整体设计、规范编制或者项目管理、监理、检测等服务的供应商，我方不是采购代理机构的附属机构。</w:t>
      </w:r>
    </w:p>
    <w:p>
      <w:pPr>
        <w:adjustRightInd w:val="0"/>
        <w:snapToGrid w:val="0"/>
        <w:spacing w:line="360" w:lineRule="auto"/>
        <w:ind w:right="-21" w:rightChars="-1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（6）在领取成交通知书的同时按采购文件规定的形式，向贵方一次性支付成交服务费。</w:t>
      </w:r>
    </w:p>
    <w:p>
      <w:pPr>
        <w:adjustRightInd w:val="0"/>
        <w:snapToGrid w:val="0"/>
        <w:spacing w:line="360" w:lineRule="auto"/>
        <w:ind w:right="-21" w:rightChars="-1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（7）按照贵方要求，提供与其响应有关的一切数据或资料，完全理解贵方不一定接受最低价的响应。</w:t>
      </w:r>
    </w:p>
    <w:p>
      <w:pPr>
        <w:adjustRightInd w:val="0"/>
        <w:snapToGrid w:val="0"/>
        <w:spacing w:line="360" w:lineRule="auto"/>
        <w:ind w:right="-21" w:rightChars="-1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（8）按照采购文件的规定履行合同责任和义务。</w:t>
      </w:r>
    </w:p>
    <w:p>
      <w:pPr>
        <w:adjustRightInd w:val="0"/>
        <w:snapToGrid w:val="0"/>
        <w:spacing w:line="360" w:lineRule="auto"/>
        <w:ind w:right="-21" w:rightChars="-1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（9）我方承诺响应文件中的证明材料真实、合法、有效。</w:t>
      </w:r>
    </w:p>
    <w:p>
      <w:pPr>
        <w:tabs>
          <w:tab w:val="left" w:pos="10467"/>
        </w:tabs>
        <w:adjustRightInd w:val="0"/>
        <w:snapToGrid w:val="0"/>
        <w:spacing w:line="360" w:lineRule="auto"/>
        <w:ind w:right="1050" w:rightChars="500" w:firstLine="476" w:firstLineChars="227"/>
        <w:rPr>
          <w:rFonts w:hint="eastAsia" w:ascii="宋体" w:hAnsi="宋体" w:eastAsia="宋体" w:cs="宋体"/>
          <w:color w:val="auto"/>
          <w:szCs w:val="21"/>
          <w:highlight w:val="none"/>
        </w:rPr>
      </w:pPr>
    </w:p>
    <w:p>
      <w:pPr>
        <w:pStyle w:val="54"/>
        <w:rPr>
          <w:rFonts w:hint="eastAsia" w:ascii="宋体" w:hAnsi="宋体" w:eastAsia="宋体" w:cs="宋体"/>
          <w:color w:val="auto"/>
          <w:szCs w:val="21"/>
          <w:highlight w:val="none"/>
        </w:rPr>
      </w:pPr>
    </w:p>
    <w:p>
      <w:pPr>
        <w:pStyle w:val="54"/>
        <w:rPr>
          <w:rFonts w:hint="eastAsia" w:ascii="宋体" w:hAnsi="宋体" w:eastAsia="宋体" w:cs="宋体"/>
          <w:color w:val="auto"/>
          <w:szCs w:val="21"/>
          <w:highlight w:val="none"/>
        </w:rPr>
      </w:pPr>
    </w:p>
    <w:p>
      <w:pPr>
        <w:tabs>
          <w:tab w:val="left" w:pos="10467"/>
        </w:tabs>
        <w:adjustRightInd w:val="0"/>
        <w:snapToGrid w:val="0"/>
        <w:spacing w:line="360" w:lineRule="auto"/>
        <w:ind w:right="1050" w:rightChars="500" w:firstLine="476" w:firstLineChars="227"/>
        <w:rPr>
          <w:rFonts w:hint="eastAsia" w:ascii="宋体" w:hAnsi="宋体" w:eastAsia="宋体" w:cs="宋体"/>
          <w:color w:val="auto"/>
          <w:szCs w:val="21"/>
          <w:highlight w:val="none"/>
        </w:rPr>
      </w:pPr>
      <w:r>
        <w:rPr>
          <w:rFonts w:hint="eastAsia" w:ascii="宋体" w:hAnsi="宋体" w:eastAsia="宋体" w:cs="宋体"/>
          <w:color w:val="auto"/>
          <w:szCs w:val="21"/>
          <w:highlight w:val="none"/>
        </w:rPr>
        <w:t>与本投标有关的一切往来通讯请寄：</w:t>
      </w:r>
    </w:p>
    <w:p>
      <w:pPr>
        <w:pStyle w:val="54"/>
        <w:rPr>
          <w:rFonts w:hint="eastAsia" w:ascii="宋体" w:hAnsi="宋体" w:eastAsia="宋体" w:cs="宋体"/>
          <w:color w:val="auto"/>
          <w:szCs w:val="21"/>
          <w:highlight w:val="none"/>
        </w:rPr>
      </w:pPr>
    </w:p>
    <w:p>
      <w:pPr>
        <w:tabs>
          <w:tab w:val="left" w:pos="10467"/>
        </w:tabs>
        <w:adjustRightInd w:val="0"/>
        <w:snapToGrid w:val="0"/>
        <w:spacing w:line="360" w:lineRule="auto"/>
        <w:ind w:right="-21" w:rightChars="-10" w:firstLine="476" w:firstLineChars="227"/>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地    址：</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传    真：</w:t>
      </w:r>
      <w:r>
        <w:rPr>
          <w:rFonts w:hint="eastAsia" w:ascii="宋体" w:hAnsi="宋体" w:eastAsia="宋体" w:cs="宋体"/>
          <w:color w:val="auto"/>
          <w:szCs w:val="21"/>
          <w:highlight w:val="none"/>
          <w:u w:val="single"/>
        </w:rPr>
        <w:t xml:space="preserve">                     </w:t>
      </w:r>
    </w:p>
    <w:p>
      <w:pPr>
        <w:tabs>
          <w:tab w:val="left" w:pos="10467"/>
        </w:tabs>
        <w:adjustRightInd w:val="0"/>
        <w:snapToGrid w:val="0"/>
        <w:spacing w:line="360" w:lineRule="auto"/>
        <w:ind w:right="-21" w:rightChars="-10" w:firstLine="476" w:firstLineChars="227"/>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电子邮件：</w:t>
      </w:r>
      <w:r>
        <w:rPr>
          <w:rFonts w:hint="eastAsia" w:ascii="宋体" w:hAnsi="宋体" w:eastAsia="宋体" w:cs="宋体"/>
          <w:color w:val="auto"/>
          <w:szCs w:val="21"/>
          <w:highlight w:val="none"/>
          <w:u w:val="single"/>
        </w:rPr>
        <w:t xml:space="preserve">                     </w:t>
      </w:r>
    </w:p>
    <w:p>
      <w:pPr>
        <w:tabs>
          <w:tab w:val="left" w:pos="10467"/>
        </w:tabs>
        <w:adjustRightInd w:val="0"/>
        <w:snapToGrid w:val="0"/>
        <w:spacing w:line="360" w:lineRule="auto"/>
        <w:ind w:right="260" w:rightChars="124" w:firstLine="476" w:firstLineChars="227"/>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法定代表人（或非法人组织的负责人）</w:t>
      </w:r>
      <w:r>
        <w:rPr>
          <w:rFonts w:hint="eastAsia" w:ascii="宋体" w:hAnsi="宋体" w:eastAsia="宋体" w:cs="宋体"/>
          <w:color w:val="auto"/>
          <w:szCs w:val="21"/>
          <w:highlight w:val="none"/>
        </w:rPr>
        <w:t>或其授权委托人</w:t>
      </w:r>
      <w:r>
        <w:rPr>
          <w:rFonts w:hint="eastAsia" w:ascii="宋体" w:hAnsi="宋体" w:eastAsia="宋体" w:cs="宋体"/>
          <w:color w:val="auto"/>
          <w:highlight w:val="none"/>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tabs>
          <w:tab w:val="left" w:pos="10467"/>
        </w:tabs>
        <w:adjustRightInd w:val="0"/>
        <w:snapToGrid w:val="0"/>
        <w:spacing w:line="360" w:lineRule="auto"/>
        <w:ind w:right="260" w:rightChars="124" w:firstLine="476" w:firstLineChars="227"/>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供应商名称（单位公章）: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tabs>
          <w:tab w:val="left" w:pos="10467"/>
        </w:tabs>
        <w:adjustRightInd w:val="0"/>
        <w:snapToGrid w:val="0"/>
        <w:spacing w:line="360" w:lineRule="auto"/>
        <w:ind w:right="260" w:rightChars="124" w:firstLine="476" w:firstLineChars="227"/>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供应商开户银行（全称）: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tabs>
          <w:tab w:val="left" w:pos="10467"/>
        </w:tabs>
        <w:adjustRightInd w:val="0"/>
        <w:snapToGrid w:val="0"/>
        <w:spacing w:line="360" w:lineRule="auto"/>
        <w:ind w:right="260" w:rightChars="124" w:firstLine="476" w:firstLineChars="227"/>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供应商银行帐号: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right="1050" w:rightChars="500" w:firstLine="476" w:firstLineChars="227"/>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adjustRightInd w:val="0"/>
        <w:snapToGrid w:val="0"/>
        <w:spacing w:line="360" w:lineRule="auto"/>
        <w:ind w:right="1050" w:rightChars="500"/>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color w:val="auto"/>
          <w:szCs w:val="21"/>
          <w:highlight w:val="none"/>
        </w:rPr>
        <w:br w:type="page"/>
      </w:r>
      <w:r>
        <w:rPr>
          <w:rFonts w:hint="eastAsia" w:ascii="宋体" w:hAnsi="宋体" w:eastAsia="宋体" w:cs="宋体"/>
          <w:b/>
          <w:bCs/>
          <w:color w:val="auto"/>
          <w:sz w:val="28"/>
          <w:szCs w:val="28"/>
          <w:highlight w:val="none"/>
        </w:rPr>
        <w:t>格式1</w:t>
      </w:r>
      <w:r>
        <w:rPr>
          <w:rFonts w:hint="eastAsia" w:ascii="宋体" w:hAnsi="宋体" w:cs="宋体"/>
          <w:b/>
          <w:bCs/>
          <w:color w:val="auto"/>
          <w:sz w:val="28"/>
          <w:szCs w:val="28"/>
          <w:highlight w:val="none"/>
          <w:lang w:val="en-US" w:eastAsia="zh-CN"/>
        </w:rPr>
        <w:t>1</w:t>
      </w:r>
    </w:p>
    <w:p>
      <w:pPr>
        <w:spacing w:before="319" w:beforeLines="100" w:after="319" w:afterLines="10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报价一览表</w:t>
      </w:r>
    </w:p>
    <w:p>
      <w:pPr>
        <w:adjustRightInd w:val="0"/>
        <w:snapToGrid w:val="0"/>
        <w:spacing w:line="360" w:lineRule="auto"/>
        <w:ind w:right="105" w:rightChars="5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包号：                                                      报价单位：</w:t>
      </w:r>
    </w:p>
    <w:tbl>
      <w:tblPr>
        <w:tblStyle w:val="40"/>
        <w:tblW w:w="94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196"/>
        <w:gridCol w:w="2470"/>
        <w:gridCol w:w="196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897" w:type="dxa"/>
            <w:noWrap w:val="0"/>
            <w:vAlign w:val="center"/>
          </w:tcPr>
          <w:p>
            <w:pPr>
              <w:keepNext w:val="0"/>
              <w:keepLines w:val="0"/>
              <w:suppressLineNumbers w:val="0"/>
              <w:adjustRightInd w:val="0"/>
              <w:snapToGrid w:val="0"/>
              <w:spacing w:before="0" w:beforeAutospacing="0" w:after="0" w:afterAutospacing="0"/>
              <w:ind w:left="0" w:right="-48" w:rightChars="-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w:t>
            </w:r>
            <w:r>
              <w:rPr>
                <w:rFonts w:hint="eastAsia" w:ascii="宋体" w:hAnsi="宋体" w:eastAsia="宋体" w:cs="宋体"/>
                <w:color w:val="auto"/>
                <w:szCs w:val="21"/>
                <w:highlight w:val="none"/>
              </w:rPr>
              <w:t>名称</w:t>
            </w:r>
          </w:p>
        </w:tc>
        <w:tc>
          <w:tcPr>
            <w:tcW w:w="2196" w:type="dxa"/>
            <w:noWrap w:val="0"/>
            <w:vAlign w:val="center"/>
          </w:tcPr>
          <w:p>
            <w:pPr>
              <w:keepNext w:val="0"/>
              <w:keepLines w:val="0"/>
              <w:suppressLineNumbers w:val="0"/>
              <w:adjustRightInd w:val="0"/>
              <w:snapToGrid w:val="0"/>
              <w:spacing w:before="0" w:beforeAutospacing="0" w:after="0" w:afterAutospacing="0"/>
              <w:ind w:left="0" w:right="-107" w:rightChars="-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响应总价</w:t>
            </w:r>
          </w:p>
        </w:tc>
        <w:tc>
          <w:tcPr>
            <w:tcW w:w="2470" w:type="dxa"/>
            <w:noWrap w:val="0"/>
            <w:vAlign w:val="center"/>
          </w:tcPr>
          <w:p>
            <w:pPr>
              <w:keepNext w:val="0"/>
              <w:keepLines w:val="0"/>
              <w:suppressLineNumbers w:val="0"/>
              <w:adjustRightInd w:val="0"/>
              <w:snapToGrid w:val="0"/>
              <w:spacing w:before="0" w:beforeAutospacing="0" w:after="0" w:afterAutospacing="0"/>
              <w:ind w:left="0" w:right="105" w:rightChars="5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合同履行期限</w:t>
            </w:r>
          </w:p>
        </w:tc>
        <w:tc>
          <w:tcPr>
            <w:tcW w:w="1968" w:type="dxa"/>
            <w:noWrap w:val="0"/>
            <w:vAlign w:val="center"/>
          </w:tcPr>
          <w:p>
            <w:pPr>
              <w:keepNext w:val="0"/>
              <w:keepLines w:val="0"/>
              <w:suppressLineNumbers w:val="0"/>
              <w:adjustRightInd w:val="0"/>
              <w:snapToGrid w:val="0"/>
              <w:spacing w:before="0" w:beforeAutospacing="0" w:after="0" w:afterAutospacing="0"/>
              <w:ind w:left="0" w:right="-107" w:rightChars="-51"/>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质量</w:t>
            </w:r>
            <w:r>
              <w:rPr>
                <w:rFonts w:hint="eastAsia" w:ascii="宋体" w:hAnsi="宋体" w:eastAsia="宋体" w:cs="宋体"/>
                <w:color w:val="auto"/>
                <w:szCs w:val="21"/>
                <w:highlight w:val="none"/>
                <w:lang w:eastAsia="zh-CN"/>
              </w:rPr>
              <w:t>标准</w:t>
            </w:r>
          </w:p>
        </w:tc>
        <w:tc>
          <w:tcPr>
            <w:tcW w:w="947" w:type="dxa"/>
            <w:noWrap w:val="0"/>
            <w:vAlign w:val="center"/>
          </w:tcPr>
          <w:p>
            <w:pPr>
              <w:keepNext w:val="0"/>
              <w:keepLines w:val="0"/>
              <w:suppressLineNumbers w:val="0"/>
              <w:adjustRightInd w:val="0"/>
              <w:snapToGrid w:val="0"/>
              <w:spacing w:before="0" w:beforeAutospacing="0" w:after="0" w:afterAutospacing="0"/>
              <w:ind w:left="0" w:right="-107" w:rightChars="-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1897" w:type="dxa"/>
            <w:noWrap w:val="0"/>
            <w:vAlign w:val="center"/>
          </w:tcPr>
          <w:p>
            <w:pPr>
              <w:keepNext w:val="0"/>
              <w:keepLines w:val="0"/>
              <w:suppressLineNumbers w:val="0"/>
              <w:adjustRightInd w:val="0"/>
              <w:snapToGrid w:val="0"/>
              <w:spacing w:before="0" w:beforeAutospacing="0" w:after="0" w:afterAutospacing="0"/>
              <w:ind w:left="0" w:right="105" w:rightChars="50"/>
              <w:jc w:val="center"/>
              <w:rPr>
                <w:rFonts w:hint="eastAsia" w:ascii="宋体" w:hAnsi="宋体" w:eastAsia="宋体" w:cs="宋体"/>
                <w:color w:val="auto"/>
                <w:szCs w:val="21"/>
                <w:highlight w:val="none"/>
              </w:rPr>
            </w:pPr>
          </w:p>
        </w:tc>
        <w:tc>
          <w:tcPr>
            <w:tcW w:w="2196" w:type="dxa"/>
            <w:noWrap w:val="0"/>
            <w:vAlign w:val="center"/>
          </w:tcPr>
          <w:p>
            <w:pPr>
              <w:keepNext w:val="0"/>
              <w:keepLines w:val="0"/>
              <w:suppressLineNumbers w:val="0"/>
              <w:adjustRightInd w:val="0"/>
              <w:snapToGrid w:val="0"/>
              <w:spacing w:before="0" w:beforeAutospacing="0" w:after="0" w:afterAutospacing="0"/>
              <w:ind w:left="0" w:right="105" w:righ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pPr>
              <w:keepNext w:val="0"/>
              <w:keepLines w:val="0"/>
              <w:suppressLineNumbers w:val="0"/>
              <w:adjustRightInd w:val="0"/>
              <w:snapToGrid w:val="0"/>
              <w:spacing w:before="0" w:beforeAutospacing="0" w:after="0" w:afterAutospacing="0"/>
              <w:ind w:left="0" w:right="105" w:rightChar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tc>
        <w:tc>
          <w:tcPr>
            <w:tcW w:w="2470" w:type="dxa"/>
            <w:noWrap w:val="0"/>
            <w:vAlign w:val="center"/>
          </w:tcPr>
          <w:p>
            <w:pPr>
              <w:keepNext w:val="0"/>
              <w:keepLines w:val="0"/>
              <w:suppressLineNumbers w:val="0"/>
              <w:adjustRightInd w:val="0"/>
              <w:snapToGrid w:val="0"/>
              <w:spacing w:before="0" w:beforeAutospacing="0" w:after="0" w:afterAutospacing="0"/>
              <w:ind w:left="0" w:right="105" w:rightChars="50"/>
              <w:jc w:val="center"/>
              <w:rPr>
                <w:rFonts w:hint="eastAsia" w:ascii="宋体" w:hAnsi="宋体" w:eastAsia="宋体" w:cs="宋体"/>
                <w:color w:val="auto"/>
                <w:szCs w:val="21"/>
                <w:highlight w:val="none"/>
              </w:rPr>
            </w:pPr>
          </w:p>
        </w:tc>
        <w:tc>
          <w:tcPr>
            <w:tcW w:w="1968" w:type="dxa"/>
            <w:noWrap w:val="0"/>
            <w:vAlign w:val="center"/>
          </w:tcPr>
          <w:p>
            <w:pPr>
              <w:keepNext w:val="0"/>
              <w:keepLines w:val="0"/>
              <w:suppressLineNumbers w:val="0"/>
              <w:adjustRightInd w:val="0"/>
              <w:snapToGrid w:val="0"/>
              <w:spacing w:before="0" w:beforeAutospacing="0" w:after="0" w:afterAutospacing="0"/>
              <w:ind w:left="0" w:right="105" w:rightChars="50"/>
              <w:jc w:val="center"/>
              <w:rPr>
                <w:rFonts w:hint="eastAsia" w:ascii="宋体" w:hAnsi="宋体" w:eastAsia="宋体" w:cs="宋体"/>
                <w:color w:val="auto"/>
                <w:szCs w:val="21"/>
                <w:highlight w:val="none"/>
              </w:rPr>
            </w:pPr>
          </w:p>
        </w:tc>
        <w:tc>
          <w:tcPr>
            <w:tcW w:w="947" w:type="dxa"/>
            <w:noWrap w:val="0"/>
            <w:vAlign w:val="center"/>
          </w:tcPr>
          <w:p>
            <w:pPr>
              <w:keepNext w:val="0"/>
              <w:keepLines w:val="0"/>
              <w:suppressLineNumbers w:val="0"/>
              <w:adjustRightInd w:val="0"/>
              <w:snapToGrid w:val="0"/>
              <w:spacing w:before="0" w:beforeAutospacing="0" w:after="0" w:afterAutospacing="0"/>
              <w:ind w:left="0" w:right="105" w:rightChars="50"/>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093" w:type="dxa"/>
            <w:gridSpan w:val="2"/>
            <w:noWrap w:val="0"/>
            <w:vAlign w:val="center"/>
          </w:tcPr>
          <w:p>
            <w:pPr>
              <w:keepNext w:val="0"/>
              <w:keepLines w:val="0"/>
              <w:suppressLineNumbers w:val="0"/>
              <w:adjustRightInd w:val="0"/>
              <w:snapToGrid w:val="0"/>
              <w:spacing w:before="0" w:beforeAutospacing="0" w:after="0" w:afterAutospacing="0"/>
              <w:ind w:left="0" w:right="105" w:right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w:t>
            </w:r>
            <w:r>
              <w:rPr>
                <w:rFonts w:hint="eastAsia" w:ascii="宋体" w:hAnsi="宋体" w:eastAsia="宋体" w:cs="宋体"/>
                <w:color w:val="auto"/>
                <w:szCs w:val="21"/>
                <w:highlight w:val="none"/>
                <w:lang w:eastAsia="zh-CN"/>
              </w:rPr>
              <w:t>终</w:t>
            </w:r>
            <w:r>
              <w:rPr>
                <w:rFonts w:hint="eastAsia" w:ascii="宋体" w:hAnsi="宋体" w:eastAsia="宋体" w:cs="宋体"/>
                <w:color w:val="auto"/>
                <w:szCs w:val="21"/>
                <w:highlight w:val="none"/>
              </w:rPr>
              <w:t>报价</w:t>
            </w:r>
          </w:p>
        </w:tc>
        <w:tc>
          <w:tcPr>
            <w:tcW w:w="5385" w:type="dxa"/>
            <w:gridSpan w:val="3"/>
            <w:noWrap w:val="0"/>
            <w:vAlign w:val="center"/>
          </w:tcPr>
          <w:p>
            <w:pPr>
              <w:keepNext w:val="0"/>
              <w:keepLines w:val="0"/>
              <w:suppressLineNumbers w:val="0"/>
              <w:adjustRightInd w:val="0"/>
              <w:snapToGrid w:val="0"/>
              <w:spacing w:before="0" w:beforeAutospacing="0" w:after="0" w:afterAutospacing="0"/>
              <w:ind w:left="0" w:right="105" w:rightChars="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现场填报</w:t>
            </w:r>
          </w:p>
        </w:tc>
      </w:tr>
    </w:tbl>
    <w:p>
      <w:pPr>
        <w:adjustRightInd w:val="0"/>
        <w:snapToGrid w:val="0"/>
        <w:spacing w:line="360" w:lineRule="auto"/>
        <w:ind w:right="105" w:rightChars="50" w:firstLine="420" w:firstLineChars="200"/>
        <w:jc w:val="left"/>
        <w:rPr>
          <w:rFonts w:hint="eastAsia" w:ascii="宋体" w:hAnsi="宋体" w:eastAsia="宋体" w:cs="宋体"/>
          <w:color w:val="auto"/>
          <w:szCs w:val="21"/>
          <w:highlight w:val="none"/>
        </w:rPr>
      </w:pPr>
    </w:p>
    <w:p>
      <w:pPr>
        <w:adjustRightInd w:val="0"/>
        <w:snapToGrid w:val="0"/>
        <w:spacing w:line="360" w:lineRule="auto"/>
        <w:ind w:right="105" w:rightChars="50"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注：1、此表中，响应总价应和</w:t>
      </w:r>
      <w:r>
        <w:rPr>
          <w:rFonts w:hint="eastAsia" w:ascii="宋体" w:hAnsi="宋体" w:cs="宋体"/>
          <w:color w:val="auto"/>
          <w:szCs w:val="21"/>
          <w:highlight w:val="none"/>
          <w:lang w:eastAsia="zh-CN"/>
        </w:rPr>
        <w:t>已标价工程量清单</w:t>
      </w:r>
      <w:r>
        <w:rPr>
          <w:rFonts w:hint="eastAsia" w:ascii="宋体" w:hAnsi="宋体" w:eastAsia="宋体" w:cs="宋体"/>
          <w:color w:val="auto"/>
          <w:szCs w:val="21"/>
          <w:highlight w:val="none"/>
        </w:rPr>
        <w:t>的总价相一致。</w:t>
      </w:r>
    </w:p>
    <w:p>
      <w:pPr>
        <w:adjustRightInd w:val="0"/>
        <w:snapToGrid w:val="0"/>
        <w:spacing w:line="360" w:lineRule="auto"/>
        <w:ind w:right="105" w:rightChars="50" w:firstLine="840" w:firstLineChars="4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2、供应商应按磋商小组要求，在规定时间内提交最后报价（现场填报）。</w:t>
      </w:r>
    </w:p>
    <w:p>
      <w:pPr>
        <w:adjustRightInd w:val="0"/>
        <w:snapToGrid w:val="0"/>
        <w:spacing w:line="360" w:lineRule="auto"/>
        <w:ind w:right="105" w:rightChars="50" w:firstLine="840" w:firstLineChars="400"/>
        <w:jc w:val="left"/>
        <w:rPr>
          <w:rFonts w:hint="eastAsia" w:ascii="宋体" w:hAnsi="宋体" w:eastAsia="宋体" w:cs="宋体"/>
          <w:color w:val="auto"/>
          <w:szCs w:val="21"/>
          <w:highlight w:val="none"/>
          <w:lang w:val="en-US" w:eastAsia="zh-CN"/>
        </w:rPr>
      </w:pPr>
    </w:p>
    <w:p>
      <w:pPr>
        <w:rPr>
          <w:rFonts w:hint="eastAsia"/>
          <w:color w:val="auto"/>
          <w:highlight w:val="none"/>
          <w:lang w:val="en-US" w:eastAsia="zh-CN"/>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供应商名称（加盖单位公章）：</w:t>
      </w:r>
      <w:r>
        <w:rPr>
          <w:rFonts w:hint="eastAsia" w:ascii="宋体" w:hAnsi="宋体" w:eastAsia="宋体" w:cs="宋体"/>
          <w:color w:val="auto"/>
          <w:highlight w:val="none"/>
          <w:u w:val="single"/>
        </w:rPr>
        <w:t xml:space="preserve">           </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w:t>
      </w:r>
      <w:r>
        <w:rPr>
          <w:rFonts w:hint="eastAsia" w:ascii="宋体" w:hAnsi="宋体" w:eastAsia="宋体" w:cs="宋体"/>
          <w:color w:val="auto"/>
          <w:szCs w:val="21"/>
          <w:highlight w:val="none"/>
        </w:rPr>
        <w:t>非法人组织负责人）或</w:t>
      </w:r>
      <w:r>
        <w:rPr>
          <w:rFonts w:hint="eastAsia" w:ascii="宋体" w:hAnsi="宋体" w:eastAsia="宋体" w:cs="宋体"/>
          <w:color w:val="auto"/>
          <w:highlight w:val="none"/>
        </w:rPr>
        <w:t>其授权委托人(签字或盖章)：</w:t>
      </w:r>
      <w:r>
        <w:rPr>
          <w:rFonts w:hint="eastAsia" w:ascii="宋体" w:hAnsi="宋体" w:eastAsia="宋体" w:cs="宋体"/>
          <w:color w:val="auto"/>
          <w:highlight w:val="none"/>
          <w:u w:val="single"/>
        </w:rPr>
        <w:t xml:space="preserve">           </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pPr>
        <w:adjustRightInd w:val="0"/>
        <w:snapToGrid w:val="0"/>
        <w:spacing w:line="360" w:lineRule="auto"/>
        <w:ind w:right="105" w:rightChars="50"/>
        <w:jc w:val="left"/>
        <w:rPr>
          <w:rFonts w:hint="eastAsia" w:ascii="宋体" w:hAnsi="宋体" w:eastAsia="宋体" w:cs="宋体"/>
          <w:color w:val="auto"/>
          <w:szCs w:val="21"/>
          <w:highlight w:val="none"/>
        </w:rPr>
      </w:pPr>
    </w:p>
    <w:p>
      <w:pPr>
        <w:adjustRightInd w:val="0"/>
        <w:snapToGrid w:val="0"/>
        <w:spacing w:line="360" w:lineRule="auto"/>
        <w:ind w:right="1050" w:rightChars="500"/>
        <w:outlineLvl w:val="1"/>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Cs w:val="21"/>
          <w:highlight w:val="none"/>
        </w:rPr>
        <w:br w:type="page"/>
      </w:r>
      <w:bookmarkStart w:id="58" w:name="_Toc4485635"/>
      <w:bookmarkStart w:id="59" w:name="_Toc533340159"/>
      <w:r>
        <w:rPr>
          <w:rFonts w:hint="eastAsia" w:ascii="宋体" w:hAnsi="宋体" w:eastAsia="宋体" w:cs="宋体"/>
          <w:b/>
          <w:bCs/>
          <w:color w:val="auto"/>
          <w:sz w:val="28"/>
          <w:szCs w:val="28"/>
          <w:highlight w:val="none"/>
        </w:rPr>
        <w:t>格式1</w:t>
      </w:r>
      <w:bookmarkEnd w:id="58"/>
      <w:bookmarkEnd w:id="59"/>
      <w:r>
        <w:rPr>
          <w:rFonts w:hint="eastAsia" w:ascii="宋体" w:hAnsi="宋体" w:cs="宋体"/>
          <w:b/>
          <w:bCs/>
          <w:color w:val="auto"/>
          <w:sz w:val="28"/>
          <w:szCs w:val="28"/>
          <w:highlight w:val="none"/>
          <w:lang w:val="en-US" w:eastAsia="zh-CN"/>
        </w:rPr>
        <w:t>2</w:t>
      </w:r>
    </w:p>
    <w:p>
      <w:pPr>
        <w:spacing w:line="500" w:lineRule="exact"/>
        <w:jc w:val="center"/>
        <w:rPr>
          <w:rFonts w:hint="eastAsia" w:ascii="宋体" w:hAnsi="宋体" w:eastAsia="宋体" w:cs="宋体"/>
          <w:b/>
          <w:bCs/>
          <w:color w:val="auto"/>
          <w:sz w:val="30"/>
          <w:szCs w:val="30"/>
          <w:highlight w:val="none"/>
        </w:rPr>
      </w:pPr>
      <w:bookmarkStart w:id="60" w:name="_Toc533340161"/>
      <w:bookmarkStart w:id="61" w:name="_Toc4485637"/>
      <w:r>
        <w:rPr>
          <w:rFonts w:hint="eastAsia" w:ascii="宋体" w:hAnsi="宋体" w:eastAsia="宋体" w:cs="宋体"/>
          <w:b/>
          <w:bCs/>
          <w:color w:val="auto"/>
          <w:sz w:val="30"/>
          <w:szCs w:val="30"/>
          <w:highlight w:val="none"/>
        </w:rPr>
        <w:t>已标价工程量清单</w:t>
      </w:r>
    </w:p>
    <w:tbl>
      <w:tblPr>
        <w:tblStyle w:val="40"/>
        <w:tblpPr w:leftFromText="180" w:rightFromText="180" w:vertAnchor="text" w:horzAnchor="page" w:tblpX="937" w:tblpY="80"/>
        <w:tblOverlap w:val="never"/>
        <w:tblW w:w="10290" w:type="dxa"/>
        <w:tblInd w:w="0" w:type="dxa"/>
        <w:shd w:val="clear" w:color="auto" w:fill="auto"/>
        <w:tblLayout w:type="fixed"/>
        <w:tblCellMar>
          <w:top w:w="0" w:type="dxa"/>
          <w:left w:w="0" w:type="dxa"/>
          <w:bottom w:w="0" w:type="dxa"/>
          <w:right w:w="0" w:type="dxa"/>
        </w:tblCellMar>
      </w:tblPr>
      <w:tblGrid>
        <w:gridCol w:w="660"/>
        <w:gridCol w:w="541"/>
        <w:gridCol w:w="175"/>
        <w:gridCol w:w="5313"/>
        <w:gridCol w:w="3601"/>
      </w:tblGrid>
      <w:tr>
        <w:tblPrEx>
          <w:tblCellMar>
            <w:top w:w="0" w:type="dxa"/>
            <w:left w:w="0" w:type="dxa"/>
            <w:bottom w:w="0" w:type="dxa"/>
            <w:right w:w="0" w:type="dxa"/>
          </w:tblCellMar>
        </w:tblPrEx>
        <w:trPr>
          <w:trHeight w:val="1455" w:hRule="atLeast"/>
        </w:trPr>
        <w:tc>
          <w:tcPr>
            <w:tcW w:w="1201" w:type="dxa"/>
            <w:gridSpan w:val="2"/>
            <w:tcBorders>
              <w:top w:val="nil"/>
              <w:left w:val="nil"/>
              <w:bottom w:val="nil"/>
              <w:right w:val="nil"/>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5488" w:type="dxa"/>
            <w:gridSpan w:val="2"/>
            <w:tcBorders>
              <w:top w:val="nil"/>
              <w:left w:val="nil"/>
              <w:bottom w:val="single" w:color="000000" w:sz="4" w:space="0"/>
              <w:right w:val="nil"/>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36"/>
                <w:szCs w:val="36"/>
                <w:highlight w:val="none"/>
                <w:u w:val="none"/>
              </w:rPr>
            </w:pPr>
          </w:p>
        </w:tc>
        <w:tc>
          <w:tcPr>
            <w:tcW w:w="3601" w:type="dxa"/>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b/>
                <w:i w:val="0"/>
                <w:color w:val="auto"/>
                <w:sz w:val="36"/>
                <w:szCs w:val="36"/>
                <w:highlight w:val="none"/>
                <w:u w:val="none"/>
              </w:rPr>
            </w:pPr>
            <w:r>
              <w:rPr>
                <w:rFonts w:hint="eastAsia" w:ascii="宋体" w:hAnsi="宋体" w:eastAsia="宋体" w:cs="宋体"/>
                <w:b/>
                <w:i w:val="0"/>
                <w:color w:val="auto"/>
                <w:kern w:val="0"/>
                <w:sz w:val="36"/>
                <w:szCs w:val="36"/>
                <w:highlight w:val="none"/>
                <w:u w:val="none"/>
                <w:lang w:val="en-US" w:eastAsia="zh-CN" w:bidi="ar"/>
              </w:rPr>
              <w:t>工程</w:t>
            </w:r>
          </w:p>
        </w:tc>
      </w:tr>
      <w:tr>
        <w:tblPrEx>
          <w:shd w:val="clear" w:color="auto" w:fill="auto"/>
          <w:tblCellMar>
            <w:top w:w="0" w:type="dxa"/>
            <w:left w:w="0" w:type="dxa"/>
            <w:bottom w:w="0" w:type="dxa"/>
            <w:right w:w="0" w:type="dxa"/>
          </w:tblCellMar>
        </w:tblPrEx>
        <w:trPr>
          <w:trHeight w:val="1305" w:hRule="atLeast"/>
        </w:trPr>
        <w:tc>
          <w:tcPr>
            <w:tcW w:w="10290" w:type="dxa"/>
            <w:gridSpan w:val="5"/>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b/>
                <w:i w:val="0"/>
                <w:color w:val="auto"/>
                <w:sz w:val="44"/>
                <w:szCs w:val="44"/>
                <w:highlight w:val="none"/>
                <w:u w:val="none"/>
              </w:rPr>
            </w:pPr>
            <w:r>
              <w:rPr>
                <w:rFonts w:hint="eastAsia" w:ascii="宋体" w:hAnsi="宋体" w:eastAsia="宋体" w:cs="宋体"/>
                <w:b/>
                <w:i w:val="0"/>
                <w:color w:val="auto"/>
                <w:kern w:val="0"/>
                <w:sz w:val="44"/>
                <w:szCs w:val="44"/>
                <w:highlight w:val="none"/>
                <w:u w:val="none"/>
                <w:lang w:val="en-US" w:eastAsia="zh-CN" w:bidi="ar"/>
              </w:rPr>
              <w:t>响  应  总  价</w:t>
            </w:r>
          </w:p>
        </w:tc>
      </w:tr>
      <w:tr>
        <w:tblPrEx>
          <w:shd w:val="clear" w:color="auto" w:fill="auto"/>
          <w:tblCellMar>
            <w:top w:w="0" w:type="dxa"/>
            <w:left w:w="0" w:type="dxa"/>
            <w:bottom w:w="0" w:type="dxa"/>
            <w:right w:w="0" w:type="dxa"/>
          </w:tblCellMar>
        </w:tblPrEx>
        <w:trPr>
          <w:trHeight w:val="765" w:hRule="atLeast"/>
        </w:trPr>
        <w:tc>
          <w:tcPr>
            <w:tcW w:w="1376"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招 标 人：</w:t>
            </w:r>
          </w:p>
        </w:tc>
        <w:tc>
          <w:tcPr>
            <w:tcW w:w="8914" w:type="dxa"/>
            <w:gridSpan w:val="2"/>
            <w:tcBorders>
              <w:top w:val="nil"/>
              <w:left w:val="nil"/>
              <w:bottom w:val="single" w:color="000000" w:sz="4" w:space="0"/>
              <w:right w:val="nil"/>
            </w:tcBorders>
            <w:shd w:val="clear" w:color="FFFFFF" w:fill="FFFFFF"/>
            <w:tcMar>
              <w:top w:w="15" w:type="dxa"/>
              <w:left w:w="15" w:type="dxa"/>
              <w:right w:w="15" w:type="dxa"/>
            </w:tcMar>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670" w:hRule="atLeast"/>
        </w:trPr>
        <w:tc>
          <w:tcPr>
            <w:tcW w:w="1376"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工程名称：</w:t>
            </w:r>
          </w:p>
        </w:tc>
        <w:tc>
          <w:tcPr>
            <w:tcW w:w="8914" w:type="dxa"/>
            <w:gridSpan w:val="2"/>
            <w:tcBorders>
              <w:top w:val="single" w:color="000000" w:sz="4" w:space="0"/>
              <w:left w:val="nil"/>
              <w:bottom w:val="single" w:color="000000" w:sz="4" w:space="0"/>
              <w:right w:val="nil"/>
            </w:tcBorders>
            <w:shd w:val="clear" w:color="FFFFFF" w:fill="FFFFFF"/>
            <w:tcMar>
              <w:top w:w="15" w:type="dxa"/>
              <w:left w:w="15" w:type="dxa"/>
              <w:right w:w="15" w:type="dxa"/>
            </w:tcMar>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1140" w:hRule="atLeast"/>
        </w:trPr>
        <w:tc>
          <w:tcPr>
            <w:tcW w:w="1376"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投标总价</w:t>
            </w:r>
          </w:p>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（小写）：</w:t>
            </w:r>
          </w:p>
        </w:tc>
        <w:tc>
          <w:tcPr>
            <w:tcW w:w="8914" w:type="dxa"/>
            <w:gridSpan w:val="2"/>
            <w:tcBorders>
              <w:top w:val="single" w:color="000000" w:sz="4" w:space="0"/>
              <w:left w:val="nil"/>
              <w:bottom w:val="single" w:color="000000" w:sz="4" w:space="0"/>
              <w:right w:val="nil"/>
            </w:tcBorders>
            <w:shd w:val="clear" w:color="FFFFFF" w:fill="FFFFFF"/>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570" w:hRule="atLeast"/>
        </w:trPr>
        <w:tc>
          <w:tcPr>
            <w:tcW w:w="1376"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 xml:space="preserve">        （大写）：</w:t>
            </w:r>
          </w:p>
        </w:tc>
        <w:tc>
          <w:tcPr>
            <w:tcW w:w="8914" w:type="dxa"/>
            <w:gridSpan w:val="2"/>
            <w:tcBorders>
              <w:top w:val="single" w:color="000000" w:sz="4" w:space="0"/>
              <w:left w:val="nil"/>
              <w:bottom w:val="single" w:color="000000" w:sz="4" w:space="0"/>
              <w:right w:val="nil"/>
            </w:tcBorders>
            <w:shd w:val="clear" w:color="FFFFFF" w:fill="FFFFFF"/>
            <w:tcMar>
              <w:top w:w="15" w:type="dxa"/>
              <w:left w:w="15" w:type="dxa"/>
              <w:right w:w="15" w:type="dxa"/>
            </w:tcMar>
            <w:vAlign w:val="bottom"/>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235" w:hRule="atLeast"/>
        </w:trPr>
        <w:tc>
          <w:tcPr>
            <w:tcW w:w="660" w:type="dxa"/>
            <w:tcBorders>
              <w:top w:val="nil"/>
              <w:left w:val="nil"/>
              <w:bottom w:val="nil"/>
              <w:right w:val="nil"/>
            </w:tcBorders>
            <w:shd w:val="clear" w:color="FFFFFF" w:fill="FFFFFF"/>
            <w:tcMar>
              <w:top w:w="15" w:type="dxa"/>
              <w:left w:w="15" w:type="dxa"/>
              <w:right w:w="15" w:type="dxa"/>
            </w:tcMar>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c>
          <w:tcPr>
            <w:tcW w:w="716" w:type="dxa"/>
            <w:gridSpan w:val="2"/>
            <w:tcBorders>
              <w:top w:val="nil"/>
              <w:left w:val="nil"/>
              <w:bottom w:val="nil"/>
              <w:right w:val="nil"/>
            </w:tcBorders>
            <w:shd w:val="clear" w:color="FFFFFF" w:fill="FFFFFF"/>
            <w:tcMar>
              <w:top w:w="15" w:type="dxa"/>
              <w:left w:w="15" w:type="dxa"/>
              <w:right w:w="15" w:type="dxa"/>
            </w:tcMar>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c>
          <w:tcPr>
            <w:tcW w:w="8914" w:type="dxa"/>
            <w:gridSpan w:val="2"/>
            <w:tcBorders>
              <w:top w:val="single" w:color="000000" w:sz="4" w:space="0"/>
              <w:left w:val="nil"/>
              <w:bottom w:val="nil"/>
              <w:right w:val="nil"/>
            </w:tcBorders>
            <w:shd w:val="clear" w:color="FFFFFF" w:fill="FFFFFF"/>
            <w:tcMar>
              <w:top w:w="15" w:type="dxa"/>
              <w:left w:w="15" w:type="dxa"/>
              <w:right w:w="15" w:type="dxa"/>
            </w:tcMar>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1140" w:hRule="atLeast"/>
        </w:trPr>
        <w:tc>
          <w:tcPr>
            <w:tcW w:w="1376"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投  标  人：</w:t>
            </w:r>
          </w:p>
        </w:tc>
        <w:tc>
          <w:tcPr>
            <w:tcW w:w="8914" w:type="dxa"/>
            <w:gridSpan w:val="2"/>
            <w:tcBorders>
              <w:top w:val="nil"/>
              <w:left w:val="nil"/>
              <w:bottom w:val="single" w:color="000000" w:sz="4" w:space="0"/>
              <w:right w:val="nil"/>
            </w:tcBorders>
            <w:shd w:val="clear" w:color="FFFFFF" w:fill="FFFFFF"/>
            <w:tcMar>
              <w:top w:w="15" w:type="dxa"/>
              <w:left w:w="15" w:type="dxa"/>
              <w:right w:w="15" w:type="dxa"/>
            </w:tcMar>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90" w:hRule="atLeast"/>
        </w:trPr>
        <w:tc>
          <w:tcPr>
            <w:tcW w:w="660" w:type="dxa"/>
            <w:tcBorders>
              <w:top w:val="nil"/>
              <w:left w:val="nil"/>
              <w:bottom w:val="nil"/>
              <w:right w:val="nil"/>
            </w:tcBorders>
            <w:shd w:val="clear" w:color="FFFFFF" w:fill="FFFFFF"/>
            <w:tcMar>
              <w:top w:w="15" w:type="dxa"/>
              <w:left w:w="15" w:type="dxa"/>
              <w:right w:w="15" w:type="dxa"/>
            </w:tcMar>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c>
          <w:tcPr>
            <w:tcW w:w="716" w:type="dxa"/>
            <w:gridSpan w:val="2"/>
            <w:tcBorders>
              <w:top w:val="single" w:color="000000" w:sz="4" w:space="0"/>
              <w:left w:val="nil"/>
              <w:bottom w:val="nil"/>
              <w:right w:val="nil"/>
            </w:tcBorders>
            <w:shd w:val="clear" w:color="FFFFFF" w:fill="FFFFFF"/>
            <w:tcMar>
              <w:top w:w="15" w:type="dxa"/>
              <w:left w:w="15" w:type="dxa"/>
              <w:right w:w="15" w:type="dxa"/>
            </w:tcMar>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c>
          <w:tcPr>
            <w:tcW w:w="8914" w:type="dxa"/>
            <w:gridSpan w:val="2"/>
            <w:tcBorders>
              <w:top w:val="single" w:color="000000" w:sz="4" w:space="0"/>
              <w:left w:val="nil"/>
              <w:bottom w:val="nil"/>
              <w:right w:val="nil"/>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(单位盖章)</w:t>
            </w:r>
          </w:p>
        </w:tc>
      </w:tr>
      <w:tr>
        <w:tblPrEx>
          <w:shd w:val="clear" w:color="auto" w:fill="auto"/>
          <w:tblCellMar>
            <w:top w:w="0" w:type="dxa"/>
            <w:left w:w="0" w:type="dxa"/>
            <w:bottom w:w="0" w:type="dxa"/>
            <w:right w:w="0" w:type="dxa"/>
          </w:tblCellMar>
        </w:tblPrEx>
        <w:trPr>
          <w:trHeight w:val="1500" w:hRule="atLeast"/>
        </w:trPr>
        <w:tc>
          <w:tcPr>
            <w:tcW w:w="1376"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color w:val="auto"/>
                <w:kern w:val="0"/>
                <w:sz w:val="24"/>
                <w:szCs w:val="24"/>
                <w:highlight w:val="none"/>
                <w:u w:val="none"/>
                <w:lang w:val="en-US" w:eastAsia="zh-CN" w:bidi="ar"/>
              </w:rPr>
            </w:pPr>
            <w:r>
              <w:rPr>
                <w:rFonts w:hint="eastAsia" w:ascii="宋体" w:hAnsi="宋体" w:eastAsia="宋体" w:cs="宋体"/>
                <w:i w:val="0"/>
                <w:color w:val="auto"/>
                <w:kern w:val="0"/>
                <w:sz w:val="24"/>
                <w:szCs w:val="24"/>
                <w:highlight w:val="none"/>
                <w:u w:val="none"/>
                <w:lang w:val="en-US" w:eastAsia="zh-CN" w:bidi="ar"/>
              </w:rPr>
              <w:t>法定代表人</w:t>
            </w:r>
          </w:p>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或其授权人：</w:t>
            </w:r>
          </w:p>
        </w:tc>
        <w:tc>
          <w:tcPr>
            <w:tcW w:w="8914" w:type="dxa"/>
            <w:gridSpan w:val="2"/>
            <w:tcBorders>
              <w:top w:val="nil"/>
              <w:left w:val="nil"/>
              <w:bottom w:val="single" w:color="000000" w:sz="4" w:space="0"/>
              <w:right w:val="nil"/>
            </w:tcBorders>
            <w:shd w:val="clear" w:color="FFFFFF" w:fill="FFFFFF"/>
            <w:tcMar>
              <w:top w:w="15" w:type="dxa"/>
              <w:left w:w="15" w:type="dxa"/>
              <w:right w:w="15" w:type="dxa"/>
            </w:tcMar>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r>
        <w:tblPrEx>
          <w:tblCellMar>
            <w:top w:w="0" w:type="dxa"/>
            <w:left w:w="0" w:type="dxa"/>
            <w:bottom w:w="0" w:type="dxa"/>
            <w:right w:w="0" w:type="dxa"/>
          </w:tblCellMar>
        </w:tblPrEx>
        <w:trPr>
          <w:trHeight w:val="360" w:hRule="atLeast"/>
        </w:trPr>
        <w:tc>
          <w:tcPr>
            <w:tcW w:w="660" w:type="dxa"/>
            <w:tcBorders>
              <w:top w:val="nil"/>
              <w:left w:val="nil"/>
              <w:bottom w:val="nil"/>
              <w:right w:val="nil"/>
            </w:tcBorders>
            <w:shd w:val="clear" w:color="FFFFFF" w:fill="FFFFFF"/>
            <w:tcMar>
              <w:top w:w="15" w:type="dxa"/>
              <w:left w:w="15" w:type="dxa"/>
              <w:right w:w="15" w:type="dxa"/>
            </w:tcMar>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c>
          <w:tcPr>
            <w:tcW w:w="716" w:type="dxa"/>
            <w:gridSpan w:val="2"/>
            <w:tcBorders>
              <w:top w:val="single" w:color="000000" w:sz="4" w:space="0"/>
              <w:left w:val="nil"/>
              <w:bottom w:val="nil"/>
              <w:right w:val="nil"/>
            </w:tcBorders>
            <w:shd w:val="clear" w:color="FFFFFF" w:fill="FFFFFF"/>
            <w:tcMar>
              <w:top w:w="15" w:type="dxa"/>
              <w:left w:w="15" w:type="dxa"/>
              <w:right w:w="15" w:type="dxa"/>
            </w:tcMar>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c>
          <w:tcPr>
            <w:tcW w:w="8914" w:type="dxa"/>
            <w:gridSpan w:val="2"/>
            <w:tcBorders>
              <w:top w:val="single" w:color="000000" w:sz="4" w:space="0"/>
              <w:left w:val="nil"/>
              <w:bottom w:val="nil"/>
              <w:right w:val="nil"/>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(签字或盖章)</w:t>
            </w:r>
          </w:p>
        </w:tc>
      </w:tr>
      <w:tr>
        <w:tblPrEx>
          <w:tblCellMar>
            <w:top w:w="0" w:type="dxa"/>
            <w:left w:w="0" w:type="dxa"/>
            <w:bottom w:w="0" w:type="dxa"/>
            <w:right w:w="0" w:type="dxa"/>
          </w:tblCellMar>
        </w:tblPrEx>
        <w:trPr>
          <w:trHeight w:val="1500" w:hRule="atLeast"/>
        </w:trPr>
        <w:tc>
          <w:tcPr>
            <w:tcW w:w="1376" w:type="dxa"/>
            <w:gridSpan w:val="3"/>
            <w:tcBorders>
              <w:top w:val="nil"/>
              <w:left w:val="nil"/>
              <w:bottom w:val="nil"/>
              <w:right w:val="nil"/>
            </w:tcBorders>
            <w:shd w:val="clear" w:color="FFFFFF" w:fill="FFFFFF"/>
            <w:tcMar>
              <w:top w:w="15" w:type="dxa"/>
              <w:left w:w="15" w:type="dxa"/>
              <w:right w:w="15" w:type="dxa"/>
            </w:tcMar>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编  制  人：</w:t>
            </w:r>
          </w:p>
        </w:tc>
        <w:tc>
          <w:tcPr>
            <w:tcW w:w="8914" w:type="dxa"/>
            <w:gridSpan w:val="2"/>
            <w:tcBorders>
              <w:top w:val="nil"/>
              <w:left w:val="nil"/>
              <w:bottom w:val="single" w:color="000000" w:sz="4" w:space="0"/>
              <w:right w:val="nil"/>
            </w:tcBorders>
            <w:shd w:val="clear" w:color="FFFFFF" w:fill="FFFFFF"/>
            <w:tcMar>
              <w:top w:w="15" w:type="dxa"/>
              <w:left w:w="15" w:type="dxa"/>
              <w:right w:w="15" w:type="dxa"/>
            </w:tcMar>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r>
        <w:tblPrEx>
          <w:shd w:val="clear" w:color="auto" w:fill="auto"/>
          <w:tblCellMar>
            <w:top w:w="0" w:type="dxa"/>
            <w:left w:w="0" w:type="dxa"/>
            <w:bottom w:w="0" w:type="dxa"/>
            <w:right w:w="0" w:type="dxa"/>
          </w:tblCellMar>
        </w:tblPrEx>
        <w:trPr>
          <w:trHeight w:val="375" w:hRule="atLeast"/>
        </w:trPr>
        <w:tc>
          <w:tcPr>
            <w:tcW w:w="660" w:type="dxa"/>
            <w:tcBorders>
              <w:top w:val="nil"/>
              <w:left w:val="nil"/>
              <w:bottom w:val="nil"/>
              <w:right w:val="nil"/>
            </w:tcBorders>
            <w:shd w:val="clear" w:color="FFFFFF" w:fill="FFFFFF"/>
            <w:tcMar>
              <w:top w:w="15" w:type="dxa"/>
              <w:left w:w="15" w:type="dxa"/>
              <w:right w:w="15" w:type="dxa"/>
            </w:tcMar>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c>
          <w:tcPr>
            <w:tcW w:w="716" w:type="dxa"/>
            <w:gridSpan w:val="2"/>
            <w:tcBorders>
              <w:top w:val="single" w:color="000000" w:sz="4" w:space="0"/>
              <w:left w:val="nil"/>
              <w:bottom w:val="nil"/>
              <w:right w:val="nil"/>
            </w:tcBorders>
            <w:shd w:val="clear" w:color="FFFFFF" w:fill="FFFFFF"/>
            <w:tcMar>
              <w:top w:w="15" w:type="dxa"/>
              <w:left w:w="15" w:type="dxa"/>
              <w:right w:w="15" w:type="dxa"/>
            </w:tcMar>
            <w:vAlign w:val="bottom"/>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c>
          <w:tcPr>
            <w:tcW w:w="8914" w:type="dxa"/>
            <w:gridSpan w:val="2"/>
            <w:tcBorders>
              <w:top w:val="single" w:color="000000" w:sz="4" w:space="0"/>
              <w:left w:val="nil"/>
              <w:bottom w:val="nil"/>
              <w:right w:val="nil"/>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(造价人员签字</w:t>
            </w:r>
            <w:r>
              <w:rPr>
                <w:rFonts w:hint="eastAsia" w:ascii="宋体" w:hAnsi="宋体" w:cs="宋体"/>
                <w:i w:val="0"/>
                <w:color w:val="auto"/>
                <w:kern w:val="0"/>
                <w:sz w:val="18"/>
                <w:szCs w:val="18"/>
                <w:highlight w:val="none"/>
                <w:u w:val="none"/>
                <w:lang w:val="en-US" w:eastAsia="zh-CN" w:bidi="ar"/>
              </w:rPr>
              <w:t>并</w:t>
            </w:r>
            <w:r>
              <w:rPr>
                <w:rFonts w:hint="eastAsia" w:ascii="宋体" w:hAnsi="宋体" w:eastAsia="宋体" w:cs="宋体"/>
                <w:i w:val="0"/>
                <w:color w:val="auto"/>
                <w:kern w:val="0"/>
                <w:sz w:val="18"/>
                <w:szCs w:val="18"/>
                <w:highlight w:val="none"/>
                <w:u w:val="none"/>
                <w:lang w:val="en-US" w:eastAsia="zh-CN" w:bidi="ar"/>
              </w:rPr>
              <w:t>盖章)</w:t>
            </w:r>
          </w:p>
        </w:tc>
      </w:tr>
    </w:tbl>
    <w:p>
      <w:pPr>
        <w:pStyle w:val="54"/>
        <w:rPr>
          <w:rFonts w:hint="eastAsia"/>
          <w:color w:val="auto"/>
          <w:highlight w:val="none"/>
          <w:lang w:val="en-US" w:eastAsia="zh-CN"/>
        </w:rPr>
      </w:pPr>
    </w:p>
    <w:p>
      <w:pPr>
        <w:pStyle w:val="54"/>
        <w:rPr>
          <w:rFonts w:hint="eastAsia"/>
          <w:color w:val="auto"/>
          <w:highlight w:val="none"/>
          <w:lang w:val="en-US" w:eastAsia="zh-CN"/>
        </w:rPr>
      </w:pPr>
    </w:p>
    <w:p>
      <w:pPr>
        <w:pStyle w:val="54"/>
        <w:rPr>
          <w:rFonts w:hint="eastAsia"/>
          <w:color w:val="auto"/>
          <w:highlight w:val="none"/>
          <w:lang w:val="en-US" w:eastAsia="zh-CN"/>
        </w:rPr>
      </w:pPr>
    </w:p>
    <w:p>
      <w:pPr>
        <w:pStyle w:val="54"/>
        <w:rPr>
          <w:rFonts w:hint="eastAsia"/>
          <w:color w:val="auto"/>
          <w:highlight w:val="none"/>
          <w:lang w:val="en-US" w:eastAsia="zh-CN"/>
        </w:rPr>
      </w:pPr>
    </w:p>
    <w:p>
      <w:pPr>
        <w:pStyle w:val="54"/>
        <w:rPr>
          <w:rFonts w:hint="eastAsia"/>
          <w:color w:val="auto"/>
          <w:highlight w:val="none"/>
          <w:lang w:val="en-US" w:eastAsia="zh-CN"/>
        </w:rPr>
      </w:pPr>
    </w:p>
    <w:p>
      <w:pPr>
        <w:pStyle w:val="54"/>
        <w:rPr>
          <w:rFonts w:hint="eastAsia"/>
          <w:color w:val="auto"/>
          <w:highlight w:val="none"/>
          <w:lang w:val="en-US" w:eastAsia="zh-CN"/>
        </w:rPr>
      </w:pPr>
    </w:p>
    <w:tbl>
      <w:tblPr>
        <w:tblStyle w:val="40"/>
        <w:tblW w:w="9344" w:type="dxa"/>
        <w:jc w:val="center"/>
        <w:tblLayout w:type="fixed"/>
        <w:tblCellMar>
          <w:top w:w="15" w:type="dxa"/>
          <w:left w:w="15" w:type="dxa"/>
          <w:bottom w:w="15" w:type="dxa"/>
          <w:right w:w="15" w:type="dxa"/>
        </w:tblCellMar>
      </w:tblPr>
      <w:tblGrid>
        <w:gridCol w:w="2760"/>
        <w:gridCol w:w="3057"/>
        <w:gridCol w:w="3527"/>
      </w:tblGrid>
      <w:tr>
        <w:tblPrEx>
          <w:tblCellMar>
            <w:top w:w="15" w:type="dxa"/>
            <w:left w:w="15" w:type="dxa"/>
            <w:bottom w:w="15" w:type="dxa"/>
            <w:right w:w="15" w:type="dxa"/>
          </w:tblCellMar>
        </w:tblPrEx>
        <w:trPr>
          <w:trHeight w:val="1102" w:hRule="atLeast"/>
          <w:jc w:val="center"/>
        </w:trPr>
        <w:tc>
          <w:tcPr>
            <w:tcW w:w="2760" w:type="dxa"/>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cs="宋体"/>
                <w:color w:val="auto"/>
                <w:sz w:val="18"/>
                <w:szCs w:val="18"/>
                <w:highlight w:val="none"/>
              </w:rPr>
            </w:pPr>
          </w:p>
        </w:tc>
        <w:tc>
          <w:tcPr>
            <w:tcW w:w="3057" w:type="dxa"/>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36"/>
                <w:szCs w:val="36"/>
                <w:highlight w:val="none"/>
              </w:rPr>
            </w:pPr>
          </w:p>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36"/>
                <w:szCs w:val="36"/>
                <w:highlight w:val="none"/>
              </w:rPr>
            </w:pPr>
            <w:r>
              <w:rPr>
                <w:rFonts w:hint="eastAsia" w:ascii="宋体" w:hAnsi="宋体" w:cs="宋体"/>
                <w:b/>
                <w:color w:val="auto"/>
                <w:kern w:val="0"/>
                <w:sz w:val="36"/>
                <w:szCs w:val="36"/>
                <w:highlight w:val="none"/>
              </w:rPr>
              <w:t>总  说  明</w:t>
            </w:r>
          </w:p>
        </w:tc>
        <w:tc>
          <w:tcPr>
            <w:tcW w:w="3527" w:type="dxa"/>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cs="宋体"/>
                <w:color w:val="auto"/>
                <w:sz w:val="18"/>
                <w:szCs w:val="18"/>
                <w:highlight w:val="none"/>
              </w:rPr>
            </w:pPr>
          </w:p>
        </w:tc>
      </w:tr>
      <w:tr>
        <w:tblPrEx>
          <w:tblCellMar>
            <w:top w:w="15" w:type="dxa"/>
            <w:left w:w="15" w:type="dxa"/>
            <w:bottom w:w="15" w:type="dxa"/>
            <w:right w:w="15" w:type="dxa"/>
          </w:tblCellMar>
        </w:tblPrEx>
        <w:trPr>
          <w:trHeight w:val="479" w:hRule="atLeast"/>
          <w:jc w:val="center"/>
        </w:trPr>
        <w:tc>
          <w:tcPr>
            <w:tcW w:w="2760" w:type="dxa"/>
            <w:shd w:val="clear" w:color="FFFFFF" w:fill="FFFFFF"/>
            <w:noWrap w:val="0"/>
            <w:vAlign w:val="top"/>
          </w:tcPr>
          <w:p>
            <w:pPr>
              <w:keepNext w:val="0"/>
              <w:keepLines w:val="0"/>
              <w:widowControl/>
              <w:suppressLineNumbers w:val="0"/>
              <w:spacing w:before="0" w:beforeAutospacing="0" w:after="0" w:afterAutospacing="0"/>
              <w:ind w:left="0" w:right="0"/>
              <w:jc w:val="left"/>
              <w:textAlignment w:val="top"/>
              <w:rPr>
                <w:rFonts w:hint="default" w:ascii="宋体" w:hAnsi="宋体" w:cs="宋体"/>
                <w:color w:val="auto"/>
                <w:sz w:val="18"/>
                <w:szCs w:val="18"/>
                <w:highlight w:val="none"/>
              </w:rPr>
            </w:pPr>
            <w:r>
              <w:rPr>
                <w:rFonts w:hint="eastAsia" w:ascii="宋体" w:hAnsi="宋体" w:cs="宋体"/>
                <w:color w:val="auto"/>
                <w:kern w:val="0"/>
                <w:sz w:val="18"/>
                <w:szCs w:val="18"/>
                <w:highlight w:val="none"/>
              </w:rPr>
              <w:t>工程名称：</w:t>
            </w:r>
          </w:p>
        </w:tc>
        <w:tc>
          <w:tcPr>
            <w:tcW w:w="3057" w:type="dxa"/>
            <w:shd w:val="clear" w:color="FFFFFF"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color w:val="auto"/>
                <w:sz w:val="18"/>
                <w:szCs w:val="18"/>
                <w:highlight w:val="none"/>
              </w:rPr>
            </w:pPr>
          </w:p>
        </w:tc>
        <w:tc>
          <w:tcPr>
            <w:tcW w:w="3527" w:type="dxa"/>
            <w:shd w:val="clear" w:color="FFFFFF" w:fill="FFFFFF"/>
            <w:noWrap w:val="0"/>
            <w:vAlign w:val="top"/>
          </w:tcPr>
          <w:p>
            <w:pPr>
              <w:keepNext w:val="0"/>
              <w:keepLines w:val="0"/>
              <w:widowControl/>
              <w:suppressLineNumbers w:val="0"/>
              <w:spacing w:before="0" w:beforeAutospacing="0" w:after="0" w:afterAutospacing="0"/>
              <w:ind w:left="0" w:right="0"/>
              <w:jc w:val="right"/>
              <w:textAlignment w:val="top"/>
              <w:rPr>
                <w:rFonts w:hint="default" w:ascii="宋体" w:hAnsi="宋体" w:cs="宋体"/>
                <w:color w:val="auto"/>
                <w:sz w:val="18"/>
                <w:szCs w:val="18"/>
                <w:highlight w:val="none"/>
              </w:rPr>
            </w:pPr>
            <w:r>
              <w:rPr>
                <w:rFonts w:hint="eastAsia" w:ascii="宋体" w:hAnsi="宋体" w:cs="宋体"/>
                <w:color w:val="auto"/>
                <w:kern w:val="0"/>
                <w:sz w:val="18"/>
                <w:szCs w:val="18"/>
                <w:highlight w:val="none"/>
              </w:rPr>
              <w:t>第  页  共   页</w:t>
            </w:r>
          </w:p>
        </w:tc>
      </w:tr>
      <w:tr>
        <w:tblPrEx>
          <w:tblCellMar>
            <w:top w:w="15" w:type="dxa"/>
            <w:left w:w="15" w:type="dxa"/>
            <w:bottom w:w="15" w:type="dxa"/>
            <w:right w:w="15" w:type="dxa"/>
          </w:tblCellMar>
        </w:tblPrEx>
        <w:trPr>
          <w:trHeight w:val="5444" w:hRule="atLeast"/>
          <w:jc w:val="center"/>
        </w:trPr>
        <w:tc>
          <w:tcPr>
            <w:tcW w:w="9344" w:type="dxa"/>
            <w:gridSpan w:val="3"/>
            <w:vMerge w:val="restart"/>
            <w:tcBorders>
              <w:top w:val="single" w:color="000000" w:sz="4" w:space="0"/>
              <w:left w:val="single" w:color="000000" w:sz="4" w:space="0"/>
              <w:bottom w:val="single" w:color="000000" w:sz="4" w:space="0"/>
              <w:right w:val="single" w:color="000000" w:sz="4" w:space="0"/>
            </w:tcBorders>
            <w:shd w:val="clear" w:color="FFFFFF" w:fill="FFFFFF"/>
            <w:noWrap w:val="0"/>
            <w:vAlign w:val="top"/>
          </w:tcPr>
          <w:p>
            <w:pPr>
              <w:keepNext w:val="0"/>
              <w:keepLines w:val="0"/>
              <w:suppressLineNumbers w:val="0"/>
              <w:spacing w:before="0" w:beforeAutospacing="0" w:after="0" w:afterAutospacing="0"/>
              <w:ind w:left="0" w:right="0"/>
              <w:jc w:val="left"/>
              <w:rPr>
                <w:rFonts w:hint="default" w:ascii="宋体" w:hAnsi="宋体" w:cs="宋体"/>
                <w:color w:val="auto"/>
                <w:sz w:val="28"/>
                <w:szCs w:val="28"/>
                <w:highlight w:val="none"/>
              </w:rPr>
            </w:pPr>
          </w:p>
        </w:tc>
      </w:tr>
      <w:tr>
        <w:tblPrEx>
          <w:tblCellMar>
            <w:top w:w="15" w:type="dxa"/>
            <w:left w:w="15" w:type="dxa"/>
            <w:bottom w:w="15" w:type="dxa"/>
            <w:right w:w="15" w:type="dxa"/>
          </w:tblCellMar>
        </w:tblPrEx>
        <w:trPr>
          <w:trHeight w:val="4911" w:hRule="atLeast"/>
          <w:jc w:val="center"/>
        </w:trPr>
        <w:tc>
          <w:tcPr>
            <w:tcW w:w="9344" w:type="dxa"/>
            <w:gridSpan w:val="3"/>
            <w:vMerge w:val="continue"/>
            <w:tcBorders>
              <w:top w:val="single" w:color="000000" w:sz="4" w:space="0"/>
              <w:left w:val="single" w:color="000000" w:sz="4" w:space="0"/>
              <w:bottom w:val="single" w:color="000000" w:sz="4" w:space="0"/>
              <w:right w:val="single" w:color="000000" w:sz="4" w:space="0"/>
            </w:tcBorders>
            <w:shd w:val="clear" w:color="FFFFFF" w:fill="FFFFFF"/>
            <w:noWrap w:val="0"/>
            <w:vAlign w:val="top"/>
          </w:tcPr>
          <w:p>
            <w:pPr>
              <w:keepNext w:val="0"/>
              <w:keepLines w:val="0"/>
              <w:suppressLineNumbers w:val="0"/>
              <w:spacing w:before="0" w:beforeAutospacing="0" w:after="0" w:afterAutospacing="0"/>
              <w:ind w:left="0" w:right="0"/>
              <w:jc w:val="left"/>
              <w:rPr>
                <w:rFonts w:hint="default" w:ascii="宋体" w:hAnsi="宋体" w:cs="宋体"/>
                <w:color w:val="auto"/>
                <w:sz w:val="28"/>
                <w:szCs w:val="28"/>
                <w:highlight w:val="none"/>
              </w:rPr>
            </w:pPr>
          </w:p>
        </w:tc>
      </w:tr>
    </w:tbl>
    <w:p>
      <w:pPr>
        <w:pStyle w:val="54"/>
        <w:rPr>
          <w:color w:val="auto"/>
          <w:highlight w:val="none"/>
        </w:rPr>
      </w:pPr>
    </w:p>
    <w:p>
      <w:pPr>
        <w:pStyle w:val="54"/>
        <w:rPr>
          <w:color w:val="auto"/>
          <w:highlight w:val="none"/>
        </w:rPr>
      </w:pPr>
    </w:p>
    <w:p>
      <w:pPr>
        <w:pStyle w:val="54"/>
        <w:rPr>
          <w:color w:val="auto"/>
          <w:highlight w:val="none"/>
        </w:rPr>
      </w:pPr>
    </w:p>
    <w:p>
      <w:pPr>
        <w:pStyle w:val="54"/>
        <w:rPr>
          <w:color w:val="auto"/>
          <w:highlight w:val="none"/>
        </w:rPr>
      </w:pPr>
    </w:p>
    <w:p>
      <w:pPr>
        <w:pStyle w:val="54"/>
        <w:rPr>
          <w:color w:val="auto"/>
          <w:highlight w:val="none"/>
        </w:rPr>
      </w:pPr>
    </w:p>
    <w:tbl>
      <w:tblPr>
        <w:tblStyle w:val="40"/>
        <w:tblW w:w="9968" w:type="dxa"/>
        <w:jc w:val="center"/>
        <w:shd w:val="clear" w:color="auto" w:fill="auto"/>
        <w:tblLayout w:type="fixed"/>
        <w:tblCellMar>
          <w:top w:w="0" w:type="dxa"/>
          <w:left w:w="0" w:type="dxa"/>
          <w:bottom w:w="0" w:type="dxa"/>
          <w:right w:w="0" w:type="dxa"/>
        </w:tblCellMar>
      </w:tblPr>
      <w:tblGrid>
        <w:gridCol w:w="573"/>
        <w:gridCol w:w="2015"/>
        <w:gridCol w:w="2025"/>
        <w:gridCol w:w="1980"/>
        <w:gridCol w:w="736"/>
        <w:gridCol w:w="1049"/>
        <w:gridCol w:w="1590"/>
      </w:tblGrid>
      <w:tr>
        <w:tblPrEx>
          <w:shd w:val="clear" w:color="auto" w:fill="auto"/>
          <w:tblCellMar>
            <w:top w:w="0" w:type="dxa"/>
            <w:left w:w="0" w:type="dxa"/>
            <w:bottom w:w="0" w:type="dxa"/>
            <w:right w:w="0" w:type="dxa"/>
          </w:tblCellMar>
        </w:tblPrEx>
        <w:trPr>
          <w:trHeight w:val="525" w:hRule="atLeast"/>
          <w:jc w:val="center"/>
        </w:trPr>
        <w:tc>
          <w:tcPr>
            <w:tcW w:w="9968" w:type="dxa"/>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36"/>
                <w:szCs w:val="36"/>
                <w:highlight w:val="none"/>
                <w:u w:val="none"/>
              </w:rPr>
            </w:pPr>
            <w:r>
              <w:rPr>
                <w:rFonts w:hint="eastAsia" w:ascii="宋体" w:hAnsi="宋体" w:eastAsia="宋体" w:cs="宋体"/>
                <w:b/>
                <w:i w:val="0"/>
                <w:color w:val="auto"/>
                <w:kern w:val="0"/>
                <w:sz w:val="36"/>
                <w:szCs w:val="36"/>
                <w:highlight w:val="none"/>
                <w:u w:val="none"/>
                <w:lang w:val="en-US" w:eastAsia="zh-CN" w:bidi="ar"/>
              </w:rPr>
              <w:t>单项工程投标报价汇总表</w:t>
            </w:r>
          </w:p>
        </w:tc>
      </w:tr>
      <w:tr>
        <w:tblPrEx>
          <w:shd w:val="clear" w:color="auto" w:fill="auto"/>
          <w:tblCellMar>
            <w:top w:w="0" w:type="dxa"/>
            <w:left w:w="0" w:type="dxa"/>
            <w:bottom w:w="0" w:type="dxa"/>
            <w:right w:w="0" w:type="dxa"/>
          </w:tblCellMar>
        </w:tblPrEx>
        <w:trPr>
          <w:trHeight w:val="735" w:hRule="atLeast"/>
          <w:jc w:val="center"/>
        </w:trPr>
        <w:tc>
          <w:tcPr>
            <w:tcW w:w="2588" w:type="dxa"/>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工程名称：</w:t>
            </w:r>
          </w:p>
        </w:tc>
        <w:tc>
          <w:tcPr>
            <w:tcW w:w="4741" w:type="dxa"/>
            <w:gridSpan w:val="3"/>
            <w:tcBorders>
              <w:top w:val="nil"/>
              <w:left w:val="nil"/>
              <w:bottom w:val="nil"/>
              <w:right w:val="nil"/>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639" w:type="dxa"/>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  1  页 共  1  页</w:t>
            </w:r>
          </w:p>
        </w:tc>
      </w:tr>
      <w:tr>
        <w:tblPrEx>
          <w:shd w:val="clear" w:color="auto" w:fill="auto"/>
          <w:tblCellMar>
            <w:top w:w="0" w:type="dxa"/>
            <w:left w:w="0" w:type="dxa"/>
            <w:bottom w:w="0" w:type="dxa"/>
            <w:right w:w="0" w:type="dxa"/>
          </w:tblCellMar>
        </w:tblPrEx>
        <w:trPr>
          <w:trHeight w:val="410" w:hRule="atLeast"/>
          <w:jc w:val="center"/>
        </w:trPr>
        <w:tc>
          <w:tcPr>
            <w:tcW w:w="573"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序号</w:t>
            </w:r>
          </w:p>
        </w:tc>
        <w:tc>
          <w:tcPr>
            <w:tcW w:w="201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单位工程名称</w:t>
            </w:r>
          </w:p>
        </w:tc>
        <w:tc>
          <w:tcPr>
            <w:tcW w:w="202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金额（元）</w:t>
            </w:r>
          </w:p>
        </w:tc>
        <w:tc>
          <w:tcPr>
            <w:tcW w:w="5355"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其中: (元)</w:t>
            </w:r>
          </w:p>
        </w:tc>
      </w:tr>
      <w:tr>
        <w:tblPrEx>
          <w:shd w:val="clear" w:color="auto" w:fill="auto"/>
          <w:tblCellMar>
            <w:top w:w="0" w:type="dxa"/>
            <w:left w:w="0" w:type="dxa"/>
            <w:bottom w:w="0" w:type="dxa"/>
            <w:right w:w="0" w:type="dxa"/>
          </w:tblCellMar>
        </w:tblPrEx>
        <w:trPr>
          <w:trHeight w:val="450" w:hRule="atLeast"/>
          <w:jc w:val="center"/>
        </w:trPr>
        <w:tc>
          <w:tcPr>
            <w:tcW w:w="573"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01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02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暂估价</w:t>
            </w:r>
          </w:p>
        </w:tc>
        <w:tc>
          <w:tcPr>
            <w:tcW w:w="17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安全施工费</w:t>
            </w:r>
          </w:p>
        </w:tc>
        <w:tc>
          <w:tcPr>
            <w:tcW w:w="15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规费</w:t>
            </w:r>
          </w:p>
        </w:tc>
      </w:tr>
      <w:tr>
        <w:tblPrEx>
          <w:shd w:val="clear" w:color="auto" w:fill="auto"/>
          <w:tblCellMar>
            <w:top w:w="0" w:type="dxa"/>
            <w:left w:w="0" w:type="dxa"/>
            <w:bottom w:w="0" w:type="dxa"/>
            <w:right w:w="0" w:type="dxa"/>
          </w:tblCellMar>
        </w:tblPrEx>
        <w:trPr>
          <w:trHeight w:val="735"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20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573"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01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02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78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90"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2588" w:type="dxa"/>
            <w:gridSpan w:val="2"/>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合计</w:t>
            </w:r>
          </w:p>
        </w:tc>
        <w:tc>
          <w:tcPr>
            <w:tcW w:w="202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980"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785" w:type="dxa"/>
            <w:gridSpan w:val="2"/>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90"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90" w:hRule="atLeast"/>
          <w:jc w:val="center"/>
        </w:trPr>
        <w:tc>
          <w:tcPr>
            <w:tcW w:w="9968" w:type="dxa"/>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注：本表适用于投标报价的汇总。暂估价包括分部分项工程中的暂估价和专业工程工程暂估价。</w:t>
            </w:r>
          </w:p>
        </w:tc>
      </w:tr>
    </w:tbl>
    <w:p>
      <w:pPr>
        <w:pStyle w:val="54"/>
        <w:rPr>
          <w:color w:val="auto"/>
          <w:highlight w:val="none"/>
        </w:rPr>
      </w:pPr>
    </w:p>
    <w:p>
      <w:pPr>
        <w:pStyle w:val="54"/>
        <w:rPr>
          <w:color w:val="auto"/>
          <w:highlight w:val="none"/>
        </w:rPr>
      </w:pPr>
    </w:p>
    <w:tbl>
      <w:tblPr>
        <w:tblStyle w:val="40"/>
        <w:tblW w:w="9953" w:type="dxa"/>
        <w:jc w:val="center"/>
        <w:shd w:val="clear" w:color="auto" w:fill="auto"/>
        <w:tblLayout w:type="fixed"/>
        <w:tblCellMar>
          <w:top w:w="0" w:type="dxa"/>
          <w:left w:w="0" w:type="dxa"/>
          <w:bottom w:w="0" w:type="dxa"/>
          <w:right w:w="0" w:type="dxa"/>
        </w:tblCellMar>
      </w:tblPr>
      <w:tblGrid>
        <w:gridCol w:w="1538"/>
        <w:gridCol w:w="3932"/>
        <w:gridCol w:w="2471"/>
        <w:gridCol w:w="2012"/>
      </w:tblGrid>
      <w:tr>
        <w:tblPrEx>
          <w:shd w:val="clear" w:color="auto" w:fill="auto"/>
          <w:tblCellMar>
            <w:top w:w="0" w:type="dxa"/>
            <w:left w:w="0" w:type="dxa"/>
            <w:bottom w:w="0" w:type="dxa"/>
            <w:right w:w="0" w:type="dxa"/>
          </w:tblCellMar>
        </w:tblPrEx>
        <w:trPr>
          <w:trHeight w:val="585" w:hRule="atLeast"/>
          <w:jc w:val="center"/>
        </w:trPr>
        <w:tc>
          <w:tcPr>
            <w:tcW w:w="9953" w:type="dxa"/>
            <w:gridSpan w:val="4"/>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40"/>
                <w:szCs w:val="40"/>
                <w:highlight w:val="none"/>
                <w:u w:val="none"/>
              </w:rPr>
            </w:pPr>
            <w:r>
              <w:rPr>
                <w:rFonts w:hint="eastAsia" w:ascii="宋体" w:hAnsi="宋体" w:eastAsia="宋体" w:cs="宋体"/>
                <w:b/>
                <w:i w:val="0"/>
                <w:color w:val="auto"/>
                <w:kern w:val="0"/>
                <w:sz w:val="40"/>
                <w:szCs w:val="40"/>
                <w:highlight w:val="none"/>
                <w:u w:val="none"/>
                <w:lang w:val="en-US" w:eastAsia="zh-CN" w:bidi="ar"/>
              </w:rPr>
              <w:t>单位工程投标报价汇总表</w:t>
            </w:r>
          </w:p>
        </w:tc>
      </w:tr>
      <w:tr>
        <w:tblPrEx>
          <w:shd w:val="clear" w:color="auto" w:fill="auto"/>
          <w:tblCellMar>
            <w:top w:w="0" w:type="dxa"/>
            <w:left w:w="0" w:type="dxa"/>
            <w:bottom w:w="0" w:type="dxa"/>
            <w:right w:w="0" w:type="dxa"/>
          </w:tblCellMar>
        </w:tblPrEx>
        <w:trPr>
          <w:trHeight w:val="510" w:hRule="atLeast"/>
          <w:jc w:val="center"/>
        </w:trPr>
        <w:tc>
          <w:tcPr>
            <w:tcW w:w="5470" w:type="dxa"/>
            <w:gridSpan w:val="2"/>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工程名称：</w:t>
            </w:r>
          </w:p>
        </w:tc>
        <w:tc>
          <w:tcPr>
            <w:tcW w:w="2471" w:type="dxa"/>
            <w:tcBorders>
              <w:top w:val="nil"/>
              <w:left w:val="nil"/>
              <w:bottom w:val="nil"/>
              <w:right w:val="nil"/>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highlight w:val="none"/>
                <w:u w:val="none"/>
              </w:rPr>
            </w:pPr>
          </w:p>
        </w:tc>
        <w:tc>
          <w:tcPr>
            <w:tcW w:w="2012" w:type="dxa"/>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第  1  页  共  1  页</w:t>
            </w:r>
          </w:p>
        </w:tc>
      </w:tr>
      <w:tr>
        <w:tblPrEx>
          <w:shd w:val="clear" w:color="auto" w:fill="auto"/>
          <w:tblCellMar>
            <w:top w:w="0" w:type="dxa"/>
            <w:left w:w="0" w:type="dxa"/>
            <w:bottom w:w="0" w:type="dxa"/>
            <w:right w:w="0" w:type="dxa"/>
          </w:tblCellMar>
        </w:tblPrEx>
        <w:trPr>
          <w:trHeight w:val="450" w:hRule="atLeast"/>
          <w:jc w:val="center"/>
        </w:trPr>
        <w:tc>
          <w:tcPr>
            <w:tcW w:w="1538"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序号</w:t>
            </w:r>
          </w:p>
        </w:tc>
        <w:tc>
          <w:tcPr>
            <w:tcW w:w="393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汇总内容</w:t>
            </w:r>
          </w:p>
        </w:tc>
        <w:tc>
          <w:tcPr>
            <w:tcW w:w="2471"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金额(元)</w:t>
            </w:r>
          </w:p>
        </w:tc>
        <w:tc>
          <w:tcPr>
            <w:tcW w:w="2012"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其中：暂估价(元)</w:t>
            </w:r>
          </w:p>
        </w:tc>
      </w:tr>
      <w:tr>
        <w:tblPrEx>
          <w:shd w:val="clear" w:color="auto" w:fill="auto"/>
          <w:tblCellMar>
            <w:top w:w="0" w:type="dxa"/>
            <w:left w:w="0" w:type="dxa"/>
            <w:bottom w:w="0" w:type="dxa"/>
            <w:right w:w="0" w:type="dxa"/>
          </w:tblCellMar>
        </w:tblPrEx>
        <w:trPr>
          <w:trHeight w:val="450" w:hRule="atLeast"/>
          <w:jc w:val="center"/>
        </w:trPr>
        <w:tc>
          <w:tcPr>
            <w:tcW w:w="1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39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分部分项工程费</w:t>
            </w:r>
          </w:p>
        </w:tc>
        <w:tc>
          <w:tcPr>
            <w:tcW w:w="24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1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1.1</w:t>
            </w:r>
          </w:p>
        </w:tc>
        <w:tc>
          <w:tcPr>
            <w:tcW w:w="39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4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1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1.2</w:t>
            </w:r>
          </w:p>
        </w:tc>
        <w:tc>
          <w:tcPr>
            <w:tcW w:w="39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4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1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1.3</w:t>
            </w:r>
          </w:p>
        </w:tc>
        <w:tc>
          <w:tcPr>
            <w:tcW w:w="39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4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1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w:t>
            </w:r>
          </w:p>
        </w:tc>
        <w:tc>
          <w:tcPr>
            <w:tcW w:w="39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4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1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p>
        </w:tc>
        <w:tc>
          <w:tcPr>
            <w:tcW w:w="39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4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1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1.6</w:t>
            </w:r>
          </w:p>
        </w:tc>
        <w:tc>
          <w:tcPr>
            <w:tcW w:w="39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4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1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1.7</w:t>
            </w:r>
          </w:p>
        </w:tc>
        <w:tc>
          <w:tcPr>
            <w:tcW w:w="39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4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450" w:hRule="atLeast"/>
          <w:jc w:val="center"/>
        </w:trPr>
        <w:tc>
          <w:tcPr>
            <w:tcW w:w="1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1.8</w:t>
            </w:r>
          </w:p>
        </w:tc>
        <w:tc>
          <w:tcPr>
            <w:tcW w:w="39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4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1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1.9</w:t>
            </w:r>
          </w:p>
        </w:tc>
        <w:tc>
          <w:tcPr>
            <w:tcW w:w="39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4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1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39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措施项目费</w:t>
            </w:r>
          </w:p>
        </w:tc>
        <w:tc>
          <w:tcPr>
            <w:tcW w:w="24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450" w:hRule="atLeast"/>
          <w:jc w:val="center"/>
        </w:trPr>
        <w:tc>
          <w:tcPr>
            <w:tcW w:w="1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2.1</w:t>
            </w:r>
          </w:p>
        </w:tc>
        <w:tc>
          <w:tcPr>
            <w:tcW w:w="39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其中：文明施工与环境保护费</w:t>
            </w:r>
          </w:p>
        </w:tc>
        <w:tc>
          <w:tcPr>
            <w:tcW w:w="24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1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w:t>
            </w:r>
          </w:p>
        </w:tc>
        <w:tc>
          <w:tcPr>
            <w:tcW w:w="39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其他项目费</w:t>
            </w:r>
          </w:p>
        </w:tc>
        <w:tc>
          <w:tcPr>
            <w:tcW w:w="24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450" w:hRule="atLeast"/>
          <w:jc w:val="center"/>
        </w:trPr>
        <w:tc>
          <w:tcPr>
            <w:tcW w:w="1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w:t>
            </w:r>
          </w:p>
        </w:tc>
        <w:tc>
          <w:tcPr>
            <w:tcW w:w="39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规费</w:t>
            </w:r>
          </w:p>
        </w:tc>
        <w:tc>
          <w:tcPr>
            <w:tcW w:w="24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450" w:hRule="atLeast"/>
          <w:jc w:val="center"/>
        </w:trPr>
        <w:tc>
          <w:tcPr>
            <w:tcW w:w="1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5</w:t>
            </w:r>
          </w:p>
        </w:tc>
        <w:tc>
          <w:tcPr>
            <w:tcW w:w="39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安全施工措施费</w:t>
            </w:r>
          </w:p>
        </w:tc>
        <w:tc>
          <w:tcPr>
            <w:tcW w:w="24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1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39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税费前工程造价合计</w:t>
            </w:r>
          </w:p>
        </w:tc>
        <w:tc>
          <w:tcPr>
            <w:tcW w:w="24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450" w:hRule="atLeast"/>
          <w:jc w:val="center"/>
        </w:trPr>
        <w:tc>
          <w:tcPr>
            <w:tcW w:w="1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7</w:t>
            </w:r>
          </w:p>
        </w:tc>
        <w:tc>
          <w:tcPr>
            <w:tcW w:w="39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人工费动态调整</w:t>
            </w:r>
          </w:p>
        </w:tc>
        <w:tc>
          <w:tcPr>
            <w:tcW w:w="24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1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lang w:val="en-US" w:eastAsia="zh-CN"/>
              </w:rPr>
            </w:pPr>
            <w:r>
              <w:rPr>
                <w:rFonts w:hint="eastAsia" w:ascii="宋体" w:hAnsi="宋体" w:cs="宋体"/>
                <w:i w:val="0"/>
                <w:color w:val="auto"/>
                <w:sz w:val="18"/>
                <w:szCs w:val="18"/>
                <w:highlight w:val="none"/>
                <w:u w:val="none"/>
                <w:lang w:val="en-US" w:eastAsia="zh-CN"/>
              </w:rPr>
              <w:t>8</w:t>
            </w:r>
          </w:p>
        </w:tc>
        <w:tc>
          <w:tcPr>
            <w:tcW w:w="39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税金</w:t>
            </w:r>
          </w:p>
        </w:tc>
        <w:tc>
          <w:tcPr>
            <w:tcW w:w="24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1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4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450" w:hRule="atLeast"/>
          <w:jc w:val="center"/>
        </w:trPr>
        <w:tc>
          <w:tcPr>
            <w:tcW w:w="1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4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1538"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3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247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450" w:hRule="atLeast"/>
          <w:jc w:val="center"/>
        </w:trPr>
        <w:tc>
          <w:tcPr>
            <w:tcW w:w="5470" w:type="dxa"/>
            <w:gridSpan w:val="2"/>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合计 </w:t>
            </w:r>
          </w:p>
        </w:tc>
        <w:tc>
          <w:tcPr>
            <w:tcW w:w="2471"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2012"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30" w:hRule="atLeast"/>
          <w:jc w:val="center"/>
        </w:trPr>
        <w:tc>
          <w:tcPr>
            <w:tcW w:w="9953" w:type="dxa"/>
            <w:gridSpan w:val="4"/>
            <w:tcBorders>
              <w:top w:val="nil"/>
              <w:left w:val="nil"/>
              <w:bottom w:val="nil"/>
              <w:right w:val="nil"/>
            </w:tcBorders>
            <w:shd w:val="clear" w:color="FFFFFF" w:fill="FFFFFF"/>
            <w:tcMar>
              <w:top w:w="15" w:type="dxa"/>
              <w:left w:w="15" w:type="dxa"/>
              <w:right w:w="15" w:type="dxa"/>
            </w:tcMar>
            <w:vAlign w:val="top"/>
          </w:tcPr>
          <w:p>
            <w:pPr>
              <w:keepNext w:val="0"/>
              <w:keepLines w:val="0"/>
              <w:widowControl/>
              <w:suppressLineNumbers w:val="0"/>
              <w:spacing w:before="0" w:beforeAutospacing="0" w:after="0" w:afterAutospacing="0"/>
              <w:ind w:left="0" w:right="0"/>
              <w:jc w:val="left"/>
              <w:textAlignment w:val="top"/>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注：本表适用于单位工程投标报价的汇总，如无单位工程划分，单项工程也使用本表汇总</w:t>
            </w:r>
          </w:p>
        </w:tc>
      </w:tr>
    </w:tbl>
    <w:p>
      <w:pPr>
        <w:pStyle w:val="54"/>
        <w:rPr>
          <w:color w:val="auto"/>
          <w:highlight w:val="none"/>
        </w:rPr>
      </w:pPr>
    </w:p>
    <w:p>
      <w:pPr>
        <w:pStyle w:val="54"/>
        <w:rPr>
          <w:color w:val="auto"/>
          <w:highlight w:val="none"/>
        </w:rPr>
      </w:pPr>
    </w:p>
    <w:p>
      <w:pPr>
        <w:pStyle w:val="54"/>
        <w:rPr>
          <w:color w:val="auto"/>
          <w:highlight w:val="none"/>
        </w:rPr>
      </w:pPr>
    </w:p>
    <w:p>
      <w:pPr>
        <w:pStyle w:val="54"/>
        <w:rPr>
          <w:color w:val="auto"/>
          <w:highlight w:val="none"/>
        </w:rPr>
      </w:pPr>
    </w:p>
    <w:p>
      <w:pPr>
        <w:pStyle w:val="54"/>
        <w:rPr>
          <w:color w:val="auto"/>
          <w:highlight w:val="none"/>
        </w:rPr>
      </w:pPr>
    </w:p>
    <w:tbl>
      <w:tblPr>
        <w:tblStyle w:val="40"/>
        <w:tblW w:w="10345" w:type="dxa"/>
        <w:jc w:val="center"/>
        <w:shd w:val="clear" w:color="auto" w:fill="auto"/>
        <w:tblLayout w:type="fixed"/>
        <w:tblCellMar>
          <w:top w:w="0" w:type="dxa"/>
          <w:left w:w="0" w:type="dxa"/>
          <w:bottom w:w="0" w:type="dxa"/>
          <w:right w:w="0" w:type="dxa"/>
        </w:tblCellMar>
      </w:tblPr>
      <w:tblGrid>
        <w:gridCol w:w="682"/>
        <w:gridCol w:w="1220"/>
        <w:gridCol w:w="1300"/>
        <w:gridCol w:w="1570"/>
        <w:gridCol w:w="127"/>
        <w:gridCol w:w="1043"/>
        <w:gridCol w:w="975"/>
        <w:gridCol w:w="1085"/>
        <w:gridCol w:w="70"/>
        <w:gridCol w:w="755"/>
        <w:gridCol w:w="1518"/>
      </w:tblGrid>
      <w:tr>
        <w:tblPrEx>
          <w:shd w:val="clear" w:color="auto" w:fill="auto"/>
          <w:tblCellMar>
            <w:top w:w="0" w:type="dxa"/>
            <w:left w:w="0" w:type="dxa"/>
            <w:bottom w:w="0" w:type="dxa"/>
            <w:right w:w="0" w:type="dxa"/>
          </w:tblCellMar>
        </w:tblPrEx>
        <w:trPr>
          <w:trHeight w:val="585" w:hRule="atLeast"/>
          <w:jc w:val="center"/>
        </w:trPr>
        <w:tc>
          <w:tcPr>
            <w:tcW w:w="10345" w:type="dxa"/>
            <w:gridSpan w:val="11"/>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40"/>
                <w:szCs w:val="40"/>
                <w:highlight w:val="none"/>
                <w:u w:val="none"/>
              </w:rPr>
            </w:pPr>
            <w:r>
              <w:rPr>
                <w:rFonts w:hint="eastAsia" w:ascii="宋体" w:hAnsi="宋体" w:eastAsia="宋体" w:cs="宋体"/>
                <w:b/>
                <w:i w:val="0"/>
                <w:color w:val="auto"/>
                <w:kern w:val="0"/>
                <w:sz w:val="40"/>
                <w:szCs w:val="40"/>
                <w:highlight w:val="none"/>
                <w:u w:val="none"/>
                <w:lang w:val="en-US" w:eastAsia="zh-CN" w:bidi="ar"/>
              </w:rPr>
              <w:t>分部分项工程和单价措施项目清单与计价表</w:t>
            </w:r>
          </w:p>
        </w:tc>
      </w:tr>
      <w:tr>
        <w:tblPrEx>
          <w:shd w:val="clear" w:color="auto" w:fill="auto"/>
          <w:tblCellMar>
            <w:top w:w="0" w:type="dxa"/>
            <w:left w:w="0" w:type="dxa"/>
            <w:bottom w:w="0" w:type="dxa"/>
            <w:right w:w="0" w:type="dxa"/>
          </w:tblCellMar>
        </w:tblPrEx>
        <w:trPr>
          <w:trHeight w:val="510" w:hRule="atLeast"/>
          <w:jc w:val="center"/>
        </w:trPr>
        <w:tc>
          <w:tcPr>
            <w:tcW w:w="4899" w:type="dxa"/>
            <w:gridSpan w:val="5"/>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工程名称</w:t>
            </w:r>
          </w:p>
        </w:tc>
        <w:tc>
          <w:tcPr>
            <w:tcW w:w="3103" w:type="dxa"/>
            <w:gridSpan w:val="3"/>
            <w:tcBorders>
              <w:top w:val="nil"/>
              <w:left w:val="nil"/>
              <w:bottom w:val="nil"/>
              <w:right w:val="nil"/>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i w:val="0"/>
                <w:color w:val="auto"/>
                <w:sz w:val="18"/>
                <w:szCs w:val="18"/>
                <w:highlight w:val="none"/>
                <w:u w:val="none"/>
              </w:rPr>
            </w:pPr>
          </w:p>
        </w:tc>
        <w:tc>
          <w:tcPr>
            <w:tcW w:w="2343" w:type="dxa"/>
            <w:gridSpan w:val="3"/>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 xml:space="preserve">第  1  页  共  </w:t>
            </w:r>
            <w:r>
              <w:rPr>
                <w:rFonts w:hint="eastAsia" w:ascii="宋体" w:hAnsi="宋体" w:cs="宋体"/>
                <w:i w:val="0"/>
                <w:color w:val="auto"/>
                <w:kern w:val="0"/>
                <w:sz w:val="18"/>
                <w:szCs w:val="18"/>
                <w:highlight w:val="none"/>
                <w:u w:val="none"/>
                <w:lang w:val="en-US" w:eastAsia="zh-CN" w:bidi="ar"/>
              </w:rPr>
              <w:t>1</w:t>
            </w:r>
            <w:r>
              <w:rPr>
                <w:rFonts w:hint="eastAsia" w:ascii="宋体" w:hAnsi="宋体" w:eastAsia="宋体" w:cs="宋体"/>
                <w:i w:val="0"/>
                <w:color w:val="auto"/>
                <w:kern w:val="0"/>
                <w:sz w:val="18"/>
                <w:szCs w:val="18"/>
                <w:highlight w:val="none"/>
                <w:u w:val="none"/>
                <w:lang w:val="en-US" w:eastAsia="zh-CN" w:bidi="ar"/>
              </w:rPr>
              <w:t xml:space="preserve">  页</w:t>
            </w:r>
          </w:p>
        </w:tc>
      </w:tr>
      <w:tr>
        <w:tblPrEx>
          <w:shd w:val="clear" w:color="auto" w:fill="auto"/>
          <w:tblCellMar>
            <w:top w:w="0" w:type="dxa"/>
            <w:left w:w="0" w:type="dxa"/>
            <w:bottom w:w="0" w:type="dxa"/>
            <w:right w:w="0" w:type="dxa"/>
          </w:tblCellMar>
        </w:tblPrEx>
        <w:trPr>
          <w:trHeight w:val="360" w:hRule="atLeast"/>
          <w:jc w:val="center"/>
        </w:trPr>
        <w:tc>
          <w:tcPr>
            <w:tcW w:w="682" w:type="dxa"/>
            <w:vMerge w:val="restart"/>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序号</w:t>
            </w:r>
          </w:p>
        </w:tc>
        <w:tc>
          <w:tcPr>
            <w:tcW w:w="122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项目编码</w:t>
            </w:r>
          </w:p>
        </w:tc>
        <w:tc>
          <w:tcPr>
            <w:tcW w:w="130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项目名称</w:t>
            </w:r>
          </w:p>
        </w:tc>
        <w:tc>
          <w:tcPr>
            <w:tcW w:w="1570"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项目特征描述</w:t>
            </w:r>
          </w:p>
        </w:tc>
        <w:tc>
          <w:tcPr>
            <w:tcW w:w="1170"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计量单位</w:t>
            </w:r>
          </w:p>
        </w:tc>
        <w:tc>
          <w:tcPr>
            <w:tcW w:w="975" w:type="dxa"/>
            <w:vMerge w:val="restart"/>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工程量</w:t>
            </w:r>
          </w:p>
        </w:tc>
        <w:tc>
          <w:tcPr>
            <w:tcW w:w="3428" w:type="dxa"/>
            <w:gridSpan w:val="4"/>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金额（元）</w:t>
            </w:r>
          </w:p>
        </w:tc>
      </w:tr>
      <w:tr>
        <w:tblPrEx>
          <w:shd w:val="clear" w:color="auto" w:fill="auto"/>
          <w:tblCellMar>
            <w:top w:w="0" w:type="dxa"/>
            <w:left w:w="0" w:type="dxa"/>
            <w:bottom w:w="0" w:type="dxa"/>
            <w:right w:w="0" w:type="dxa"/>
          </w:tblCellMar>
        </w:tblPrEx>
        <w:trPr>
          <w:trHeight w:val="360" w:hRule="atLeast"/>
          <w:jc w:val="center"/>
        </w:trPr>
        <w:tc>
          <w:tcPr>
            <w:tcW w:w="682"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22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57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7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97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55" w:type="dxa"/>
            <w:gridSpan w:val="2"/>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综合单价</w:t>
            </w:r>
          </w:p>
        </w:tc>
        <w:tc>
          <w:tcPr>
            <w:tcW w:w="755" w:type="dxa"/>
            <w:vMerge w:val="restart"/>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合价</w:t>
            </w:r>
          </w:p>
        </w:tc>
        <w:tc>
          <w:tcPr>
            <w:tcW w:w="1518"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其中</w:t>
            </w:r>
          </w:p>
        </w:tc>
      </w:tr>
      <w:tr>
        <w:tblPrEx>
          <w:tblCellMar>
            <w:top w:w="0" w:type="dxa"/>
            <w:left w:w="0" w:type="dxa"/>
            <w:bottom w:w="0" w:type="dxa"/>
            <w:right w:w="0" w:type="dxa"/>
          </w:tblCellMar>
        </w:tblPrEx>
        <w:trPr>
          <w:trHeight w:val="360" w:hRule="atLeast"/>
          <w:jc w:val="center"/>
        </w:trPr>
        <w:tc>
          <w:tcPr>
            <w:tcW w:w="682" w:type="dxa"/>
            <w:vMerge w:val="continue"/>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22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30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570"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70"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975" w:type="dxa"/>
            <w:vMerge w:val="continue"/>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55" w:type="dxa"/>
            <w:gridSpan w:val="2"/>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755" w:type="dxa"/>
            <w:vMerge w:val="continue"/>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518"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人工费+机械费</w:t>
            </w:r>
          </w:p>
        </w:tc>
      </w:tr>
      <w:tr>
        <w:tblPrEx>
          <w:shd w:val="clear" w:color="auto" w:fill="auto"/>
          <w:tblCellMar>
            <w:top w:w="0" w:type="dxa"/>
            <w:left w:w="0" w:type="dxa"/>
            <w:bottom w:w="0" w:type="dxa"/>
            <w:right w:w="0" w:type="dxa"/>
          </w:tblCellMar>
        </w:tblPrEx>
        <w:trPr>
          <w:trHeight w:val="360" w:hRule="atLeast"/>
          <w:jc w:val="center"/>
        </w:trPr>
        <w:tc>
          <w:tcPr>
            <w:tcW w:w="68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18"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510" w:hRule="atLeast"/>
          <w:jc w:val="center"/>
        </w:trPr>
        <w:tc>
          <w:tcPr>
            <w:tcW w:w="68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18"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735" w:hRule="atLeast"/>
          <w:jc w:val="center"/>
        </w:trPr>
        <w:tc>
          <w:tcPr>
            <w:tcW w:w="68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18"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735" w:hRule="atLeast"/>
          <w:jc w:val="center"/>
        </w:trPr>
        <w:tc>
          <w:tcPr>
            <w:tcW w:w="68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18"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510" w:hRule="atLeast"/>
          <w:jc w:val="center"/>
        </w:trPr>
        <w:tc>
          <w:tcPr>
            <w:tcW w:w="68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18"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8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18"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735" w:hRule="atLeast"/>
          <w:jc w:val="center"/>
        </w:trPr>
        <w:tc>
          <w:tcPr>
            <w:tcW w:w="68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18"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960" w:hRule="atLeast"/>
          <w:jc w:val="center"/>
        </w:trPr>
        <w:tc>
          <w:tcPr>
            <w:tcW w:w="68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18"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8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18"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1185" w:hRule="atLeast"/>
          <w:jc w:val="center"/>
        </w:trPr>
        <w:tc>
          <w:tcPr>
            <w:tcW w:w="68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18"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960" w:hRule="atLeast"/>
          <w:jc w:val="center"/>
        </w:trPr>
        <w:tc>
          <w:tcPr>
            <w:tcW w:w="682"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22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3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57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170"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55" w:type="dxa"/>
            <w:gridSpan w:val="2"/>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75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18"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285" w:hRule="atLeast"/>
          <w:jc w:val="center"/>
        </w:trPr>
        <w:tc>
          <w:tcPr>
            <w:tcW w:w="8072" w:type="dxa"/>
            <w:gridSpan w:val="9"/>
            <w:tcBorders>
              <w:top w:val="single" w:color="000000" w:sz="4" w:space="0"/>
              <w:left w:val="single" w:color="000000" w:sz="8"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755" w:type="dxa"/>
            <w:tcBorders>
              <w:top w:val="single" w:color="000000" w:sz="4" w:space="0"/>
              <w:left w:val="single" w:color="000000" w:sz="4" w:space="0"/>
              <w:bottom w:val="single" w:color="000000" w:sz="8"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18" w:type="dxa"/>
            <w:tcBorders>
              <w:top w:val="single" w:color="000000" w:sz="4" w:space="0"/>
              <w:left w:val="single" w:color="000000" w:sz="4" w:space="0"/>
              <w:bottom w:val="single" w:color="000000" w:sz="8"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bl>
    <w:p>
      <w:pPr>
        <w:pStyle w:val="54"/>
        <w:jc w:val="center"/>
        <w:rPr>
          <w:rFonts w:hint="eastAsia" w:ascii="宋体" w:hAnsi="宋体" w:eastAsia="宋体" w:cs="宋体"/>
          <w:b/>
          <w:color w:val="auto"/>
          <w:kern w:val="0"/>
          <w:sz w:val="40"/>
          <w:szCs w:val="40"/>
          <w:highlight w:val="none"/>
        </w:rPr>
      </w:pPr>
    </w:p>
    <w:p>
      <w:pPr>
        <w:pStyle w:val="54"/>
        <w:jc w:val="center"/>
        <w:rPr>
          <w:rFonts w:hint="eastAsia" w:ascii="宋体" w:hAnsi="宋体" w:eastAsia="宋体" w:cs="宋体"/>
          <w:b/>
          <w:color w:val="auto"/>
          <w:kern w:val="0"/>
          <w:sz w:val="40"/>
          <w:szCs w:val="40"/>
          <w:highlight w:val="none"/>
        </w:rPr>
      </w:pPr>
    </w:p>
    <w:p>
      <w:pPr>
        <w:pStyle w:val="54"/>
        <w:jc w:val="center"/>
        <w:rPr>
          <w:rFonts w:hint="eastAsia" w:ascii="宋体" w:hAnsi="宋体" w:eastAsia="宋体" w:cs="宋体"/>
          <w:b/>
          <w:color w:val="auto"/>
          <w:kern w:val="0"/>
          <w:sz w:val="40"/>
          <w:szCs w:val="40"/>
          <w:highlight w:val="none"/>
        </w:rPr>
      </w:pPr>
    </w:p>
    <w:p>
      <w:pPr>
        <w:pStyle w:val="54"/>
        <w:jc w:val="center"/>
        <w:rPr>
          <w:rFonts w:hint="eastAsia" w:ascii="宋体" w:hAnsi="宋体" w:eastAsia="宋体" w:cs="宋体"/>
          <w:b/>
          <w:color w:val="auto"/>
          <w:kern w:val="0"/>
          <w:sz w:val="40"/>
          <w:szCs w:val="40"/>
          <w:highlight w:val="none"/>
        </w:rPr>
      </w:pPr>
    </w:p>
    <w:p>
      <w:pPr>
        <w:pStyle w:val="54"/>
        <w:jc w:val="center"/>
        <w:rPr>
          <w:rFonts w:hint="eastAsia" w:ascii="宋体" w:hAnsi="宋体" w:eastAsia="宋体" w:cs="宋体"/>
          <w:b/>
          <w:color w:val="auto"/>
          <w:kern w:val="0"/>
          <w:sz w:val="40"/>
          <w:szCs w:val="40"/>
          <w:highlight w:val="none"/>
        </w:rPr>
      </w:pPr>
    </w:p>
    <w:p>
      <w:pPr>
        <w:pStyle w:val="54"/>
        <w:jc w:val="center"/>
        <w:rPr>
          <w:rFonts w:hint="eastAsia" w:eastAsia="宋体"/>
          <w:color w:val="auto"/>
          <w:highlight w:val="none"/>
          <w:lang w:eastAsia="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b/>
          <w:color w:val="auto"/>
          <w:kern w:val="0"/>
          <w:sz w:val="40"/>
          <w:szCs w:val="40"/>
          <w:highlight w:val="none"/>
        </w:rPr>
        <w:t>综合单价分析表</w:t>
      </w:r>
      <w:r>
        <w:rPr>
          <w:rFonts w:hint="eastAsia" w:cs="宋体"/>
          <w:b/>
          <w:color w:val="auto"/>
          <w:kern w:val="0"/>
          <w:sz w:val="40"/>
          <w:szCs w:val="40"/>
          <w:highlight w:val="none"/>
          <w:lang w:eastAsia="zh-CN"/>
        </w:rPr>
        <w:t>（格式自拟）</w:t>
      </w:r>
    </w:p>
    <w:p>
      <w:pPr>
        <w:pStyle w:val="54"/>
        <w:rPr>
          <w:color w:val="auto"/>
          <w:highlight w:val="none"/>
        </w:rPr>
      </w:pPr>
    </w:p>
    <w:tbl>
      <w:tblPr>
        <w:tblStyle w:val="40"/>
        <w:tblW w:w="9281" w:type="dxa"/>
        <w:jc w:val="center"/>
        <w:tblLayout w:type="fixed"/>
        <w:tblCellMar>
          <w:top w:w="15" w:type="dxa"/>
          <w:left w:w="15" w:type="dxa"/>
          <w:bottom w:w="15" w:type="dxa"/>
          <w:right w:w="15" w:type="dxa"/>
        </w:tblCellMar>
      </w:tblPr>
      <w:tblGrid>
        <w:gridCol w:w="554"/>
        <w:gridCol w:w="625"/>
        <w:gridCol w:w="1721"/>
        <w:gridCol w:w="411"/>
        <w:gridCol w:w="1772"/>
        <w:gridCol w:w="672"/>
        <w:gridCol w:w="446"/>
        <w:gridCol w:w="1415"/>
        <w:gridCol w:w="203"/>
        <w:gridCol w:w="712"/>
        <w:gridCol w:w="750"/>
      </w:tblGrid>
      <w:tr>
        <w:tblPrEx>
          <w:tblCellMar>
            <w:top w:w="15" w:type="dxa"/>
            <w:left w:w="15" w:type="dxa"/>
            <w:bottom w:w="15" w:type="dxa"/>
            <w:right w:w="15" w:type="dxa"/>
          </w:tblCellMar>
        </w:tblPrEx>
        <w:trPr>
          <w:trHeight w:val="650" w:hRule="atLeast"/>
          <w:jc w:val="center"/>
        </w:trPr>
        <w:tc>
          <w:tcPr>
            <w:tcW w:w="9281" w:type="dxa"/>
            <w:gridSpan w:val="11"/>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rPr>
              <w:t>总价措施项目清单与计价表</w:t>
            </w:r>
          </w:p>
        </w:tc>
      </w:tr>
      <w:tr>
        <w:tblPrEx>
          <w:tblCellMar>
            <w:top w:w="15" w:type="dxa"/>
            <w:left w:w="15" w:type="dxa"/>
            <w:bottom w:w="15" w:type="dxa"/>
            <w:right w:w="15" w:type="dxa"/>
          </w:tblCellMar>
        </w:tblPrEx>
        <w:trPr>
          <w:trHeight w:val="775" w:hRule="atLeast"/>
          <w:jc w:val="center"/>
        </w:trPr>
        <w:tc>
          <w:tcPr>
            <w:tcW w:w="2900" w:type="dxa"/>
            <w:gridSpan w:val="3"/>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工程名称：</w:t>
            </w:r>
          </w:p>
        </w:tc>
        <w:tc>
          <w:tcPr>
            <w:tcW w:w="4919" w:type="dxa"/>
            <w:gridSpan w:val="6"/>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标段：</w:t>
            </w:r>
          </w:p>
        </w:tc>
        <w:tc>
          <w:tcPr>
            <w:tcW w:w="1462" w:type="dxa"/>
            <w:gridSpan w:val="2"/>
            <w:shd w:val="clear" w:color="FFFFFF"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第  页  共  页</w:t>
            </w:r>
          </w:p>
        </w:tc>
      </w:tr>
      <w:tr>
        <w:tblPrEx>
          <w:tblCellMar>
            <w:top w:w="15" w:type="dxa"/>
            <w:left w:w="15" w:type="dxa"/>
            <w:bottom w:w="15" w:type="dxa"/>
            <w:right w:w="15" w:type="dxa"/>
          </w:tblCellMar>
        </w:tblPrEx>
        <w:trPr>
          <w:trHeight w:val="680" w:hRule="atLeast"/>
          <w:jc w:val="center"/>
        </w:trPr>
        <w:tc>
          <w:tcPr>
            <w:tcW w:w="554"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序号</w:t>
            </w:r>
          </w:p>
        </w:tc>
        <w:tc>
          <w:tcPr>
            <w:tcW w:w="625"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项目编码</w:t>
            </w:r>
          </w:p>
        </w:tc>
        <w:tc>
          <w:tcPr>
            <w:tcW w:w="2132"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项目名称</w:t>
            </w:r>
          </w:p>
        </w:tc>
        <w:tc>
          <w:tcPr>
            <w:tcW w:w="1772"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计算基础</w:t>
            </w:r>
          </w:p>
        </w:tc>
        <w:tc>
          <w:tcPr>
            <w:tcW w:w="672"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费率(%)</w:t>
            </w:r>
          </w:p>
        </w:tc>
        <w:tc>
          <w:tcPr>
            <w:tcW w:w="446"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金额(元)</w:t>
            </w:r>
          </w:p>
        </w:tc>
        <w:tc>
          <w:tcPr>
            <w:tcW w:w="1415"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调整费率(%)</w:t>
            </w:r>
          </w:p>
        </w:tc>
        <w:tc>
          <w:tcPr>
            <w:tcW w:w="915"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调整后金额(元)</w:t>
            </w:r>
          </w:p>
        </w:tc>
        <w:tc>
          <w:tcPr>
            <w:tcW w:w="750"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备注</w:t>
            </w:r>
          </w:p>
        </w:tc>
      </w:tr>
      <w:tr>
        <w:tblPrEx>
          <w:tblCellMar>
            <w:top w:w="15" w:type="dxa"/>
            <w:left w:w="15" w:type="dxa"/>
            <w:bottom w:w="15" w:type="dxa"/>
            <w:right w:w="15" w:type="dxa"/>
          </w:tblCellMar>
        </w:tblPrEx>
        <w:trPr>
          <w:trHeight w:val="605" w:hRule="atLeast"/>
          <w:jc w:val="center"/>
        </w:trPr>
        <w:tc>
          <w:tcPr>
            <w:tcW w:w="55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1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一般措施项目费(不含安全施工措施费)</w:t>
            </w:r>
          </w:p>
        </w:tc>
        <w:tc>
          <w:tcPr>
            <w:tcW w:w="17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4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0"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1766" w:hRule="atLeast"/>
          <w:jc w:val="center"/>
        </w:trPr>
        <w:tc>
          <w:tcPr>
            <w:tcW w:w="55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p>
        </w:tc>
        <w:tc>
          <w:tcPr>
            <w:tcW w:w="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p>
        </w:tc>
        <w:tc>
          <w:tcPr>
            <w:tcW w:w="21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文明施工和环境保护费</w:t>
            </w:r>
          </w:p>
        </w:tc>
        <w:tc>
          <w:tcPr>
            <w:tcW w:w="17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4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0"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1549" w:hRule="atLeast"/>
          <w:jc w:val="center"/>
        </w:trPr>
        <w:tc>
          <w:tcPr>
            <w:tcW w:w="55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c>
          <w:tcPr>
            <w:tcW w:w="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c>
          <w:tcPr>
            <w:tcW w:w="21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雨季施工费</w:t>
            </w:r>
          </w:p>
        </w:tc>
        <w:tc>
          <w:tcPr>
            <w:tcW w:w="17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4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0"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413" w:hRule="atLeast"/>
          <w:jc w:val="center"/>
        </w:trPr>
        <w:tc>
          <w:tcPr>
            <w:tcW w:w="55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1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b/>
                <w:color w:val="auto"/>
                <w:sz w:val="18"/>
                <w:szCs w:val="18"/>
                <w:highlight w:val="none"/>
              </w:rPr>
            </w:pPr>
            <w:r>
              <w:rPr>
                <w:rFonts w:hint="eastAsia" w:ascii="宋体" w:hAnsi="宋体" w:eastAsia="宋体" w:cs="宋体"/>
                <w:b/>
                <w:color w:val="auto"/>
                <w:kern w:val="0"/>
                <w:sz w:val="18"/>
                <w:szCs w:val="18"/>
                <w:highlight w:val="none"/>
              </w:rPr>
              <w:t>其他措施项目费</w:t>
            </w:r>
          </w:p>
        </w:tc>
        <w:tc>
          <w:tcPr>
            <w:tcW w:w="17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4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0"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575" w:hRule="atLeast"/>
          <w:jc w:val="center"/>
        </w:trPr>
        <w:tc>
          <w:tcPr>
            <w:tcW w:w="55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p>
        </w:tc>
        <w:tc>
          <w:tcPr>
            <w:tcW w:w="21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夜间施工增加费和白天施工需要照明费</w:t>
            </w:r>
          </w:p>
        </w:tc>
        <w:tc>
          <w:tcPr>
            <w:tcW w:w="17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4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0"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55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c>
          <w:tcPr>
            <w:tcW w:w="21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二次搬运费</w:t>
            </w:r>
          </w:p>
        </w:tc>
        <w:tc>
          <w:tcPr>
            <w:tcW w:w="17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4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0"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1609" w:hRule="atLeast"/>
          <w:jc w:val="center"/>
        </w:trPr>
        <w:tc>
          <w:tcPr>
            <w:tcW w:w="55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21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冬季施工费</w:t>
            </w:r>
          </w:p>
        </w:tc>
        <w:tc>
          <w:tcPr>
            <w:tcW w:w="17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4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0"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413" w:hRule="atLeast"/>
          <w:jc w:val="center"/>
        </w:trPr>
        <w:tc>
          <w:tcPr>
            <w:tcW w:w="55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6</w:t>
            </w:r>
          </w:p>
        </w:tc>
        <w:tc>
          <w:tcPr>
            <w:tcW w:w="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21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已完工程及设备保护费</w:t>
            </w:r>
          </w:p>
        </w:tc>
        <w:tc>
          <w:tcPr>
            <w:tcW w:w="17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4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0"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992" w:hRule="atLeast"/>
          <w:jc w:val="center"/>
        </w:trPr>
        <w:tc>
          <w:tcPr>
            <w:tcW w:w="55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7</w:t>
            </w:r>
          </w:p>
        </w:tc>
        <w:tc>
          <w:tcPr>
            <w:tcW w:w="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21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市政工程（含园林绿化工程）施工干扰费</w:t>
            </w:r>
          </w:p>
        </w:tc>
        <w:tc>
          <w:tcPr>
            <w:tcW w:w="17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4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0"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413" w:hRule="atLeast"/>
          <w:jc w:val="center"/>
        </w:trPr>
        <w:tc>
          <w:tcPr>
            <w:tcW w:w="55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62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1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7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67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4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1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91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0"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413" w:hRule="atLeast"/>
          <w:jc w:val="center"/>
        </w:trPr>
        <w:tc>
          <w:tcPr>
            <w:tcW w:w="5755" w:type="dxa"/>
            <w:gridSpan w:val="6"/>
            <w:tcBorders>
              <w:top w:val="single" w:color="000000" w:sz="4" w:space="0"/>
              <w:left w:val="single" w:color="000000" w:sz="12" w:space="0"/>
              <w:bottom w:val="single" w:color="000000" w:sz="12"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合    计</w:t>
            </w:r>
          </w:p>
        </w:tc>
        <w:tc>
          <w:tcPr>
            <w:tcW w:w="446" w:type="dxa"/>
            <w:tcBorders>
              <w:top w:val="single" w:color="000000" w:sz="4" w:space="0"/>
              <w:left w:val="single" w:color="000000" w:sz="4" w:space="0"/>
              <w:bottom w:val="single" w:color="000000" w:sz="12"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15" w:type="dxa"/>
            <w:tcBorders>
              <w:top w:val="single" w:color="000000" w:sz="4" w:space="0"/>
              <w:left w:val="single" w:color="000000" w:sz="4" w:space="0"/>
              <w:bottom w:val="single" w:color="000000" w:sz="12"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915" w:type="dxa"/>
            <w:gridSpan w:val="2"/>
            <w:tcBorders>
              <w:top w:val="single" w:color="000000" w:sz="4" w:space="0"/>
              <w:left w:val="single" w:color="000000" w:sz="4" w:space="0"/>
              <w:bottom w:val="single" w:color="000000" w:sz="12"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50" w:type="dxa"/>
            <w:tcBorders>
              <w:top w:val="single" w:color="000000" w:sz="4" w:space="0"/>
              <w:left w:val="single" w:color="000000" w:sz="4" w:space="0"/>
              <w:bottom w:val="single" w:color="000000" w:sz="12"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894" w:hRule="atLeast"/>
          <w:jc w:val="center"/>
        </w:trPr>
        <w:tc>
          <w:tcPr>
            <w:tcW w:w="9281" w:type="dxa"/>
            <w:gridSpan w:val="11"/>
            <w:shd w:val="clear" w:color="FFFFFF" w:fill="FFFFFF"/>
            <w:noWrap w:val="0"/>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注：按施工方案计算的措施费，若无“计算基础”和“费率”的数值，也可只填“金额”数值，但应在备注栏说明施工方案出处或计算方法。</w:t>
            </w:r>
          </w:p>
        </w:tc>
      </w:tr>
    </w:tbl>
    <w:p>
      <w:pPr>
        <w:rPr>
          <w:color w:val="auto"/>
          <w:highlight w:val="none"/>
        </w:rPr>
      </w:pPr>
      <w:r>
        <w:rPr>
          <w:color w:val="auto"/>
          <w:highlight w:val="none"/>
        </w:rPr>
        <w:br w:type="page"/>
      </w:r>
    </w:p>
    <w:tbl>
      <w:tblPr>
        <w:tblStyle w:val="40"/>
        <w:tblW w:w="9239" w:type="dxa"/>
        <w:jc w:val="center"/>
        <w:tblLayout w:type="fixed"/>
        <w:tblCellMar>
          <w:top w:w="15" w:type="dxa"/>
          <w:left w:w="15" w:type="dxa"/>
          <w:bottom w:w="15" w:type="dxa"/>
          <w:right w:w="15" w:type="dxa"/>
        </w:tblCellMar>
      </w:tblPr>
      <w:tblGrid>
        <w:gridCol w:w="1418"/>
        <w:gridCol w:w="1577"/>
        <w:gridCol w:w="1655"/>
        <w:gridCol w:w="1465"/>
        <w:gridCol w:w="846"/>
        <w:gridCol w:w="799"/>
        <w:gridCol w:w="1479"/>
      </w:tblGrid>
      <w:tr>
        <w:tblPrEx>
          <w:tblCellMar>
            <w:top w:w="15" w:type="dxa"/>
            <w:left w:w="15" w:type="dxa"/>
            <w:bottom w:w="15" w:type="dxa"/>
            <w:right w:w="15" w:type="dxa"/>
          </w:tblCellMar>
        </w:tblPrEx>
        <w:trPr>
          <w:trHeight w:val="659" w:hRule="atLeast"/>
          <w:jc w:val="center"/>
        </w:trPr>
        <w:tc>
          <w:tcPr>
            <w:tcW w:w="9239" w:type="dxa"/>
            <w:gridSpan w:val="7"/>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rPr>
              <w:t>其他项目清单与计价汇总表</w:t>
            </w:r>
          </w:p>
        </w:tc>
      </w:tr>
      <w:tr>
        <w:tblPrEx>
          <w:tblCellMar>
            <w:top w:w="15" w:type="dxa"/>
            <w:left w:w="15" w:type="dxa"/>
            <w:bottom w:w="15" w:type="dxa"/>
            <w:right w:w="15" w:type="dxa"/>
          </w:tblCellMar>
        </w:tblPrEx>
        <w:trPr>
          <w:trHeight w:val="786" w:hRule="atLeast"/>
          <w:jc w:val="center"/>
        </w:trPr>
        <w:tc>
          <w:tcPr>
            <w:tcW w:w="2995" w:type="dxa"/>
            <w:gridSpan w:val="2"/>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工程名称：</w:t>
            </w:r>
          </w:p>
        </w:tc>
        <w:tc>
          <w:tcPr>
            <w:tcW w:w="3966" w:type="dxa"/>
            <w:gridSpan w:val="3"/>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标段：</w:t>
            </w:r>
          </w:p>
        </w:tc>
        <w:tc>
          <w:tcPr>
            <w:tcW w:w="2278" w:type="dxa"/>
            <w:gridSpan w:val="2"/>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第 页  共   页</w:t>
            </w:r>
          </w:p>
        </w:tc>
      </w:tr>
      <w:tr>
        <w:tblPrEx>
          <w:tblCellMar>
            <w:top w:w="15" w:type="dxa"/>
            <w:left w:w="15" w:type="dxa"/>
            <w:bottom w:w="15" w:type="dxa"/>
            <w:right w:w="15" w:type="dxa"/>
          </w:tblCellMar>
        </w:tblPrEx>
        <w:trPr>
          <w:trHeight w:val="423" w:hRule="atLeast"/>
          <w:jc w:val="center"/>
        </w:trPr>
        <w:tc>
          <w:tcPr>
            <w:tcW w:w="1418"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序号</w:t>
            </w:r>
          </w:p>
        </w:tc>
        <w:tc>
          <w:tcPr>
            <w:tcW w:w="3232"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项目名称</w:t>
            </w:r>
          </w:p>
        </w:tc>
        <w:tc>
          <w:tcPr>
            <w:tcW w:w="1465"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金额(元)</w:t>
            </w:r>
          </w:p>
        </w:tc>
        <w:tc>
          <w:tcPr>
            <w:tcW w:w="1645"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结算金额(元)</w:t>
            </w:r>
          </w:p>
        </w:tc>
        <w:tc>
          <w:tcPr>
            <w:tcW w:w="1479"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备注</w:t>
            </w: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暂列金额</w:t>
            </w: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暂估价</w:t>
            </w: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材料（工程设备）暂估价</w:t>
            </w: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2.2</w:t>
            </w: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专业工程暂估价</w:t>
            </w: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计日工</w:t>
            </w: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总承包服务费</w:t>
            </w: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5</w:t>
            </w: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工程担保费</w:t>
            </w: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1418"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23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465"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73" w:hRule="atLeast"/>
          <w:jc w:val="center"/>
        </w:trPr>
        <w:tc>
          <w:tcPr>
            <w:tcW w:w="4650" w:type="dxa"/>
            <w:gridSpan w:val="3"/>
            <w:tcBorders>
              <w:top w:val="single" w:color="000000" w:sz="4" w:space="0"/>
              <w:left w:val="single" w:color="000000" w:sz="12" w:space="0"/>
              <w:bottom w:val="single" w:color="000000" w:sz="12"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合    计</w:t>
            </w:r>
          </w:p>
        </w:tc>
        <w:tc>
          <w:tcPr>
            <w:tcW w:w="1465" w:type="dxa"/>
            <w:tcBorders>
              <w:top w:val="single" w:color="000000" w:sz="4" w:space="0"/>
              <w:left w:val="single" w:color="000000" w:sz="4" w:space="0"/>
              <w:bottom w:val="single" w:color="000000" w:sz="12"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18"/>
                <w:szCs w:val="18"/>
                <w:highlight w:val="none"/>
              </w:rPr>
            </w:pPr>
          </w:p>
        </w:tc>
        <w:tc>
          <w:tcPr>
            <w:tcW w:w="1645" w:type="dxa"/>
            <w:gridSpan w:val="2"/>
            <w:tcBorders>
              <w:top w:val="single" w:color="000000" w:sz="4" w:space="0"/>
              <w:left w:val="single" w:color="000000" w:sz="4" w:space="0"/>
              <w:bottom w:val="single" w:color="000000" w:sz="12"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479" w:type="dxa"/>
            <w:tcBorders>
              <w:top w:val="single" w:color="000000" w:sz="4" w:space="0"/>
              <w:left w:val="single" w:color="000000" w:sz="4" w:space="0"/>
              <w:bottom w:val="single" w:color="000000" w:sz="12"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408" w:hRule="atLeast"/>
          <w:jc w:val="center"/>
        </w:trPr>
        <w:tc>
          <w:tcPr>
            <w:tcW w:w="9239" w:type="dxa"/>
            <w:gridSpan w:val="7"/>
            <w:shd w:val="clear" w:color="FFFFFF" w:fill="FFFFFF"/>
            <w:noWrap w:val="0"/>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注：材料（工程设备）暂估单价进入清单项目综合单价，此处不汇总。</w:t>
            </w:r>
          </w:p>
        </w:tc>
      </w:tr>
    </w:tbl>
    <w:p>
      <w:pPr>
        <w:pStyle w:val="54"/>
        <w:rPr>
          <w:color w:val="auto"/>
          <w:highlight w:val="none"/>
        </w:rPr>
      </w:pPr>
    </w:p>
    <w:p>
      <w:pPr>
        <w:pStyle w:val="54"/>
        <w:rPr>
          <w:color w:val="auto"/>
          <w:highlight w:val="none"/>
        </w:rPr>
      </w:pPr>
    </w:p>
    <w:p>
      <w:pPr>
        <w:pStyle w:val="54"/>
        <w:rPr>
          <w:color w:val="auto"/>
          <w:highlight w:val="none"/>
        </w:rPr>
      </w:pPr>
    </w:p>
    <w:p>
      <w:pPr>
        <w:pStyle w:val="54"/>
        <w:rPr>
          <w:color w:val="auto"/>
          <w:highlight w:val="none"/>
        </w:rPr>
      </w:pPr>
    </w:p>
    <w:p>
      <w:pPr>
        <w:pStyle w:val="54"/>
        <w:rPr>
          <w:color w:val="auto"/>
          <w:highlight w:val="none"/>
        </w:rPr>
      </w:pPr>
    </w:p>
    <w:tbl>
      <w:tblPr>
        <w:tblStyle w:val="40"/>
        <w:tblW w:w="9460" w:type="dxa"/>
        <w:jc w:val="center"/>
        <w:tblLayout w:type="fixed"/>
        <w:tblCellMar>
          <w:top w:w="15" w:type="dxa"/>
          <w:left w:w="15" w:type="dxa"/>
          <w:bottom w:w="15" w:type="dxa"/>
          <w:right w:w="15" w:type="dxa"/>
        </w:tblCellMar>
      </w:tblPr>
      <w:tblGrid>
        <w:gridCol w:w="1466"/>
        <w:gridCol w:w="1645"/>
        <w:gridCol w:w="1675"/>
        <w:gridCol w:w="1251"/>
        <w:gridCol w:w="1261"/>
        <w:gridCol w:w="600"/>
        <w:gridCol w:w="1562"/>
      </w:tblGrid>
      <w:tr>
        <w:tblPrEx>
          <w:tblCellMar>
            <w:top w:w="15" w:type="dxa"/>
            <w:left w:w="15" w:type="dxa"/>
            <w:bottom w:w="15" w:type="dxa"/>
            <w:right w:w="15" w:type="dxa"/>
          </w:tblCellMar>
        </w:tblPrEx>
        <w:trPr>
          <w:trHeight w:val="650" w:hRule="atLeast"/>
          <w:jc w:val="center"/>
        </w:trPr>
        <w:tc>
          <w:tcPr>
            <w:tcW w:w="9460" w:type="dxa"/>
            <w:gridSpan w:val="7"/>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kern w:val="0"/>
                <w:sz w:val="40"/>
                <w:szCs w:val="40"/>
                <w:highlight w:val="none"/>
              </w:rPr>
            </w:pP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rPr>
              <w:t>暂列金额明细表</w:t>
            </w:r>
          </w:p>
        </w:tc>
      </w:tr>
      <w:tr>
        <w:tblPrEx>
          <w:tblCellMar>
            <w:top w:w="15" w:type="dxa"/>
            <w:left w:w="15" w:type="dxa"/>
            <w:bottom w:w="15" w:type="dxa"/>
            <w:right w:w="15" w:type="dxa"/>
          </w:tblCellMar>
        </w:tblPrEx>
        <w:trPr>
          <w:trHeight w:val="775" w:hRule="atLeast"/>
          <w:jc w:val="center"/>
        </w:trPr>
        <w:tc>
          <w:tcPr>
            <w:tcW w:w="3111" w:type="dxa"/>
            <w:gridSpan w:val="2"/>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工程名称：</w:t>
            </w:r>
          </w:p>
        </w:tc>
        <w:tc>
          <w:tcPr>
            <w:tcW w:w="4187" w:type="dxa"/>
            <w:gridSpan w:val="3"/>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标段：</w:t>
            </w:r>
          </w:p>
        </w:tc>
        <w:tc>
          <w:tcPr>
            <w:tcW w:w="2162" w:type="dxa"/>
            <w:gridSpan w:val="2"/>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第    页  共   页</w:t>
            </w:r>
          </w:p>
        </w:tc>
      </w:tr>
      <w:tr>
        <w:tblPrEx>
          <w:tblCellMar>
            <w:top w:w="15" w:type="dxa"/>
            <w:left w:w="15" w:type="dxa"/>
            <w:bottom w:w="15" w:type="dxa"/>
            <w:right w:w="15" w:type="dxa"/>
          </w:tblCellMar>
        </w:tblPrEx>
        <w:trPr>
          <w:trHeight w:val="418" w:hRule="atLeast"/>
          <w:jc w:val="center"/>
        </w:trPr>
        <w:tc>
          <w:tcPr>
            <w:tcW w:w="1466"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序号</w:t>
            </w:r>
          </w:p>
        </w:tc>
        <w:tc>
          <w:tcPr>
            <w:tcW w:w="3320"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项目名称</w:t>
            </w:r>
          </w:p>
        </w:tc>
        <w:tc>
          <w:tcPr>
            <w:tcW w:w="1251"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计量单位</w:t>
            </w:r>
          </w:p>
        </w:tc>
        <w:tc>
          <w:tcPr>
            <w:tcW w:w="1861"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暂定金额(元)</w:t>
            </w:r>
          </w:p>
        </w:tc>
        <w:tc>
          <w:tcPr>
            <w:tcW w:w="1562"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备注</w:t>
            </w:r>
          </w:p>
        </w:tc>
      </w:tr>
      <w:tr>
        <w:tblPrEx>
          <w:tblCellMar>
            <w:top w:w="15" w:type="dxa"/>
            <w:left w:w="15" w:type="dxa"/>
            <w:bottom w:w="15" w:type="dxa"/>
            <w:right w:w="15" w:type="dxa"/>
          </w:tblCellMar>
        </w:tblPrEx>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rPr>
          <w:trHeight w:val="368" w:hRule="atLeast"/>
          <w:jc w:val="center"/>
        </w:trPr>
        <w:tc>
          <w:tcPr>
            <w:tcW w:w="1466"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3320"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25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86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50" w:hRule="atLeast"/>
          <w:jc w:val="center"/>
        </w:trPr>
        <w:tc>
          <w:tcPr>
            <w:tcW w:w="6037" w:type="dxa"/>
            <w:gridSpan w:val="4"/>
            <w:tcBorders>
              <w:top w:val="single" w:color="000000" w:sz="4" w:space="0"/>
              <w:left w:val="single" w:color="000000" w:sz="12" w:space="0"/>
              <w:bottom w:val="single" w:color="000000" w:sz="12"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合    计</w:t>
            </w:r>
          </w:p>
        </w:tc>
        <w:tc>
          <w:tcPr>
            <w:tcW w:w="1861" w:type="dxa"/>
            <w:gridSpan w:val="2"/>
            <w:tcBorders>
              <w:top w:val="single" w:color="000000" w:sz="4" w:space="0"/>
              <w:left w:val="single" w:color="000000" w:sz="4" w:space="0"/>
              <w:bottom w:val="single" w:color="000000" w:sz="12"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562" w:type="dxa"/>
            <w:tcBorders>
              <w:top w:val="single" w:color="000000" w:sz="4" w:space="0"/>
              <w:left w:val="single" w:color="000000" w:sz="4" w:space="0"/>
              <w:bottom w:val="single" w:color="000000" w:sz="12" w:space="0"/>
              <w:right w:val="single" w:color="000000" w:sz="12"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w:t>
            </w:r>
          </w:p>
        </w:tc>
      </w:tr>
      <w:tr>
        <w:tblPrEx>
          <w:tblCellMar>
            <w:top w:w="15" w:type="dxa"/>
            <w:left w:w="15" w:type="dxa"/>
            <w:bottom w:w="15" w:type="dxa"/>
            <w:right w:w="15" w:type="dxa"/>
          </w:tblCellMar>
        </w:tblPrEx>
        <w:trPr>
          <w:trHeight w:val="403" w:hRule="atLeast"/>
          <w:jc w:val="center"/>
        </w:trPr>
        <w:tc>
          <w:tcPr>
            <w:tcW w:w="9460" w:type="dxa"/>
            <w:gridSpan w:val="7"/>
            <w:shd w:val="clear" w:color="FFFFFF" w:fill="FFFFFF"/>
            <w:noWrap w:val="0"/>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注：此表由招标人填写，如不能详列，也可只列暂列金额总额，投标人应将上述暂列金额计入投标总价中。</w:t>
            </w:r>
          </w:p>
        </w:tc>
      </w:tr>
    </w:tbl>
    <w:p>
      <w:pPr>
        <w:pStyle w:val="54"/>
        <w:rPr>
          <w:color w:val="auto"/>
          <w:highlight w:val="none"/>
        </w:rPr>
      </w:pPr>
    </w:p>
    <w:p>
      <w:pPr>
        <w:pStyle w:val="54"/>
        <w:rPr>
          <w:color w:val="auto"/>
          <w:highlight w:val="none"/>
        </w:rPr>
      </w:pPr>
    </w:p>
    <w:p>
      <w:pPr>
        <w:pStyle w:val="54"/>
        <w:rPr>
          <w:color w:val="auto"/>
          <w:highlight w:val="none"/>
        </w:rPr>
      </w:pPr>
    </w:p>
    <w:p>
      <w:pPr>
        <w:pStyle w:val="54"/>
        <w:rPr>
          <w:color w:val="auto"/>
          <w:highlight w:val="none"/>
        </w:rPr>
        <w:sectPr>
          <w:pgSz w:w="11906" w:h="16838"/>
          <w:pgMar w:top="1440" w:right="1800" w:bottom="1440" w:left="1800" w:header="851" w:footer="992" w:gutter="0"/>
          <w:pgNumType w:fmt="decimal"/>
          <w:cols w:space="425" w:num="1"/>
          <w:docGrid w:type="lines" w:linePitch="312" w:charSpace="0"/>
        </w:sectPr>
      </w:pPr>
    </w:p>
    <w:tbl>
      <w:tblPr>
        <w:tblStyle w:val="40"/>
        <w:tblW w:w="9560" w:type="dxa"/>
        <w:jc w:val="center"/>
        <w:tblLayout w:type="fixed"/>
        <w:tblCellMar>
          <w:top w:w="15" w:type="dxa"/>
          <w:left w:w="15" w:type="dxa"/>
          <w:bottom w:w="15" w:type="dxa"/>
          <w:right w:w="15" w:type="dxa"/>
        </w:tblCellMar>
      </w:tblPr>
      <w:tblGrid>
        <w:gridCol w:w="774"/>
        <w:gridCol w:w="2752"/>
        <w:gridCol w:w="733"/>
        <w:gridCol w:w="902"/>
        <w:gridCol w:w="1749"/>
        <w:gridCol w:w="1128"/>
        <w:gridCol w:w="196"/>
        <w:gridCol w:w="240"/>
        <w:gridCol w:w="1086"/>
      </w:tblGrid>
      <w:tr>
        <w:tblPrEx>
          <w:tblCellMar>
            <w:top w:w="15" w:type="dxa"/>
            <w:left w:w="15" w:type="dxa"/>
            <w:bottom w:w="15" w:type="dxa"/>
            <w:right w:w="15" w:type="dxa"/>
          </w:tblCellMar>
        </w:tblPrEx>
        <w:trPr>
          <w:trHeight w:val="673" w:hRule="atLeast"/>
          <w:jc w:val="center"/>
        </w:trPr>
        <w:tc>
          <w:tcPr>
            <w:tcW w:w="9560" w:type="dxa"/>
            <w:gridSpan w:val="9"/>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rPr>
              <w:t>计 日 工 表</w:t>
            </w:r>
          </w:p>
        </w:tc>
      </w:tr>
      <w:tr>
        <w:tblPrEx>
          <w:tblCellMar>
            <w:top w:w="15" w:type="dxa"/>
            <w:left w:w="15" w:type="dxa"/>
            <w:bottom w:w="15" w:type="dxa"/>
            <w:right w:w="15" w:type="dxa"/>
          </w:tblCellMar>
        </w:tblPrEx>
        <w:trPr>
          <w:trHeight w:val="803" w:hRule="atLeast"/>
          <w:jc w:val="center"/>
        </w:trPr>
        <w:tc>
          <w:tcPr>
            <w:tcW w:w="3526" w:type="dxa"/>
            <w:gridSpan w:val="2"/>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工程名称：</w:t>
            </w:r>
          </w:p>
        </w:tc>
        <w:tc>
          <w:tcPr>
            <w:tcW w:w="4708" w:type="dxa"/>
            <w:gridSpan w:val="5"/>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标段：</w:t>
            </w:r>
          </w:p>
        </w:tc>
        <w:tc>
          <w:tcPr>
            <w:tcW w:w="1326" w:type="dxa"/>
            <w:gridSpan w:val="2"/>
            <w:shd w:val="clear" w:color="FFFFFF" w:fill="FFFFFF"/>
            <w:noWrap w:val="0"/>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第  页  共  页</w:t>
            </w:r>
          </w:p>
        </w:tc>
      </w:tr>
      <w:tr>
        <w:tblPrEx>
          <w:tblCellMar>
            <w:top w:w="15" w:type="dxa"/>
            <w:left w:w="15" w:type="dxa"/>
            <w:bottom w:w="15" w:type="dxa"/>
            <w:right w:w="15" w:type="dxa"/>
          </w:tblCellMar>
        </w:tblPrEx>
        <w:trPr>
          <w:trHeight w:val="383" w:hRule="atLeast"/>
          <w:jc w:val="center"/>
        </w:trPr>
        <w:tc>
          <w:tcPr>
            <w:tcW w:w="774" w:type="dxa"/>
            <w:vMerge w:val="restart"/>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编号</w:t>
            </w:r>
          </w:p>
        </w:tc>
        <w:tc>
          <w:tcPr>
            <w:tcW w:w="2752"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项目名称</w:t>
            </w:r>
          </w:p>
        </w:tc>
        <w:tc>
          <w:tcPr>
            <w:tcW w:w="733"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单位</w:t>
            </w:r>
          </w:p>
        </w:tc>
        <w:tc>
          <w:tcPr>
            <w:tcW w:w="902"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暂定数量</w:t>
            </w:r>
          </w:p>
        </w:tc>
        <w:tc>
          <w:tcPr>
            <w:tcW w:w="1749"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实际数量</w:t>
            </w:r>
          </w:p>
        </w:tc>
        <w:tc>
          <w:tcPr>
            <w:tcW w:w="1128" w:type="dxa"/>
            <w:vMerge w:val="restart"/>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综合单价(元)</w:t>
            </w:r>
          </w:p>
        </w:tc>
        <w:tc>
          <w:tcPr>
            <w:tcW w:w="1522" w:type="dxa"/>
            <w:gridSpan w:val="3"/>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合价</w:t>
            </w:r>
          </w:p>
        </w:tc>
      </w:tr>
      <w:tr>
        <w:tblPrEx>
          <w:tblCellMar>
            <w:top w:w="15" w:type="dxa"/>
            <w:left w:w="15" w:type="dxa"/>
            <w:bottom w:w="15" w:type="dxa"/>
            <w:right w:w="15" w:type="dxa"/>
          </w:tblCellMar>
        </w:tblPrEx>
        <w:trPr>
          <w:trHeight w:val="383" w:hRule="atLeast"/>
          <w:jc w:val="center"/>
        </w:trPr>
        <w:tc>
          <w:tcPr>
            <w:tcW w:w="774" w:type="dxa"/>
            <w:vMerge w:val="continue"/>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752"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733"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02"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749"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1128" w:type="dxa"/>
            <w:vMerge w:val="continue"/>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43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暂定</w:t>
            </w:r>
          </w:p>
        </w:tc>
        <w:tc>
          <w:tcPr>
            <w:tcW w:w="1086"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实际</w:t>
            </w:r>
          </w:p>
        </w:tc>
      </w:tr>
      <w:tr>
        <w:tblPrEx>
          <w:tblCellMar>
            <w:top w:w="15" w:type="dxa"/>
            <w:left w:w="15" w:type="dxa"/>
            <w:bottom w:w="15" w:type="dxa"/>
            <w:right w:w="15" w:type="dxa"/>
          </w:tblCellMar>
        </w:tblPrEx>
        <w:trPr>
          <w:trHeight w:val="381" w:hRule="atLeast"/>
          <w:jc w:val="center"/>
        </w:trPr>
        <w:tc>
          <w:tcPr>
            <w:tcW w:w="77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人工</w:t>
            </w:r>
          </w:p>
        </w:tc>
        <w:tc>
          <w:tcPr>
            <w:tcW w:w="7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7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3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086"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81" w:hRule="atLeast"/>
          <w:jc w:val="center"/>
        </w:trPr>
        <w:tc>
          <w:tcPr>
            <w:tcW w:w="77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7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3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086"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62" w:hRule="atLeast"/>
          <w:jc w:val="center"/>
        </w:trPr>
        <w:tc>
          <w:tcPr>
            <w:tcW w:w="8038" w:type="dxa"/>
            <w:gridSpan w:val="6"/>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人工小计</w:t>
            </w:r>
          </w:p>
        </w:tc>
        <w:tc>
          <w:tcPr>
            <w:tcW w:w="43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086"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81" w:hRule="atLeast"/>
          <w:jc w:val="center"/>
        </w:trPr>
        <w:tc>
          <w:tcPr>
            <w:tcW w:w="77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材料</w:t>
            </w:r>
          </w:p>
        </w:tc>
        <w:tc>
          <w:tcPr>
            <w:tcW w:w="7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7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3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086"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81" w:hRule="atLeast"/>
          <w:jc w:val="center"/>
        </w:trPr>
        <w:tc>
          <w:tcPr>
            <w:tcW w:w="77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2.1</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7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3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086"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62" w:hRule="atLeast"/>
          <w:jc w:val="center"/>
        </w:trPr>
        <w:tc>
          <w:tcPr>
            <w:tcW w:w="8038" w:type="dxa"/>
            <w:gridSpan w:val="6"/>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材料小计</w:t>
            </w:r>
          </w:p>
        </w:tc>
        <w:tc>
          <w:tcPr>
            <w:tcW w:w="43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086"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81" w:hRule="atLeast"/>
          <w:jc w:val="center"/>
        </w:trPr>
        <w:tc>
          <w:tcPr>
            <w:tcW w:w="77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机械</w:t>
            </w:r>
          </w:p>
        </w:tc>
        <w:tc>
          <w:tcPr>
            <w:tcW w:w="7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7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3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086"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81" w:hRule="atLeast"/>
          <w:jc w:val="center"/>
        </w:trPr>
        <w:tc>
          <w:tcPr>
            <w:tcW w:w="77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3.1</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7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3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086"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62" w:hRule="atLeast"/>
          <w:jc w:val="center"/>
        </w:trPr>
        <w:tc>
          <w:tcPr>
            <w:tcW w:w="8038" w:type="dxa"/>
            <w:gridSpan w:val="6"/>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机械小计</w:t>
            </w:r>
          </w:p>
        </w:tc>
        <w:tc>
          <w:tcPr>
            <w:tcW w:w="43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086"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81" w:hRule="atLeast"/>
          <w:jc w:val="center"/>
        </w:trPr>
        <w:tc>
          <w:tcPr>
            <w:tcW w:w="77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企业管理费和利润</w:t>
            </w:r>
          </w:p>
        </w:tc>
        <w:tc>
          <w:tcPr>
            <w:tcW w:w="7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7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3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086"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81" w:hRule="atLeast"/>
          <w:jc w:val="center"/>
        </w:trPr>
        <w:tc>
          <w:tcPr>
            <w:tcW w:w="77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4.1</w:t>
            </w:r>
          </w:p>
        </w:tc>
        <w:tc>
          <w:tcPr>
            <w:tcW w:w="27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7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3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086"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62" w:hRule="atLeast"/>
          <w:jc w:val="center"/>
        </w:trPr>
        <w:tc>
          <w:tcPr>
            <w:tcW w:w="8038" w:type="dxa"/>
            <w:gridSpan w:val="6"/>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企业管理费和利润小计</w:t>
            </w:r>
          </w:p>
        </w:tc>
        <w:tc>
          <w:tcPr>
            <w:tcW w:w="43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086"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81" w:hRule="atLeast"/>
          <w:jc w:val="center"/>
        </w:trPr>
        <w:tc>
          <w:tcPr>
            <w:tcW w:w="77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7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7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3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086"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81" w:hRule="atLeast"/>
          <w:jc w:val="center"/>
        </w:trPr>
        <w:tc>
          <w:tcPr>
            <w:tcW w:w="77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7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7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3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086"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81" w:hRule="atLeast"/>
          <w:jc w:val="center"/>
        </w:trPr>
        <w:tc>
          <w:tcPr>
            <w:tcW w:w="77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7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7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3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086"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81" w:hRule="atLeast"/>
          <w:jc w:val="center"/>
        </w:trPr>
        <w:tc>
          <w:tcPr>
            <w:tcW w:w="77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7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7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3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086"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81" w:hRule="atLeast"/>
          <w:jc w:val="center"/>
        </w:trPr>
        <w:tc>
          <w:tcPr>
            <w:tcW w:w="77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7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7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3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086"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81" w:hRule="atLeast"/>
          <w:jc w:val="center"/>
        </w:trPr>
        <w:tc>
          <w:tcPr>
            <w:tcW w:w="77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7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7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3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086"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81" w:hRule="atLeast"/>
          <w:jc w:val="center"/>
        </w:trPr>
        <w:tc>
          <w:tcPr>
            <w:tcW w:w="774"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75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902"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74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128"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436"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086"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81" w:hRule="atLeast"/>
          <w:jc w:val="center"/>
        </w:trPr>
        <w:tc>
          <w:tcPr>
            <w:tcW w:w="8038" w:type="dxa"/>
            <w:gridSpan w:val="6"/>
            <w:tcBorders>
              <w:top w:val="single" w:color="000000" w:sz="4" w:space="0"/>
              <w:left w:val="single" w:color="000000" w:sz="12" w:space="0"/>
              <w:bottom w:val="single" w:color="000000" w:sz="12"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总    计</w:t>
            </w:r>
          </w:p>
        </w:tc>
        <w:tc>
          <w:tcPr>
            <w:tcW w:w="436" w:type="dxa"/>
            <w:gridSpan w:val="2"/>
            <w:tcBorders>
              <w:top w:val="single" w:color="000000" w:sz="4" w:space="0"/>
              <w:left w:val="single" w:color="000000" w:sz="4" w:space="0"/>
              <w:bottom w:val="single" w:color="000000" w:sz="12"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1086" w:type="dxa"/>
            <w:tcBorders>
              <w:top w:val="single" w:color="000000" w:sz="4" w:space="0"/>
              <w:left w:val="single" w:color="000000" w:sz="4" w:space="0"/>
              <w:bottom w:val="single" w:color="000000" w:sz="12"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704" w:hRule="atLeast"/>
          <w:jc w:val="center"/>
        </w:trPr>
        <w:tc>
          <w:tcPr>
            <w:tcW w:w="9560" w:type="dxa"/>
            <w:gridSpan w:val="9"/>
            <w:shd w:val="clear" w:color="FFFFFF" w:fill="FFFFFF"/>
            <w:noWrap w:val="0"/>
            <w:vAlign w:val="bottom"/>
          </w:tcPr>
          <w:p>
            <w:pPr>
              <w:keepNext w:val="0"/>
              <w:keepLines w:val="0"/>
              <w:widowControl/>
              <w:suppressLineNumbers w:val="0"/>
              <w:spacing w:before="0" w:beforeAutospacing="0" w:after="0" w:afterAutospacing="0"/>
              <w:ind w:left="0" w:right="0"/>
              <w:jc w:val="left"/>
              <w:textAlignment w:val="bottom"/>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注：此表项目名称、暂定数量由招标人填写，编制招标控制价时，单价由招标人按有关计价规定确定；投标时，单价由投标人自主报价，按暂定数量计算合价计入投标总价中。结算时，按发承包双方确认的实际数量计算合价。</w:t>
            </w:r>
          </w:p>
        </w:tc>
      </w:tr>
    </w:tbl>
    <w:p>
      <w:pPr>
        <w:pStyle w:val="54"/>
        <w:rPr>
          <w:color w:val="auto"/>
          <w:highlight w:val="none"/>
        </w:rPr>
      </w:pPr>
    </w:p>
    <w:p>
      <w:pPr>
        <w:pStyle w:val="54"/>
        <w:rPr>
          <w:color w:val="auto"/>
          <w:highlight w:val="none"/>
        </w:rPr>
      </w:pPr>
    </w:p>
    <w:p>
      <w:pPr>
        <w:pStyle w:val="54"/>
        <w:rPr>
          <w:color w:val="auto"/>
          <w:highlight w:val="none"/>
        </w:rPr>
      </w:pPr>
    </w:p>
    <w:p>
      <w:pPr>
        <w:pStyle w:val="54"/>
        <w:rPr>
          <w:color w:val="auto"/>
          <w:highlight w:val="none"/>
        </w:rPr>
      </w:pPr>
    </w:p>
    <w:p>
      <w:pPr>
        <w:pStyle w:val="54"/>
        <w:rPr>
          <w:color w:val="auto"/>
          <w:highlight w:val="none"/>
        </w:rPr>
      </w:pPr>
    </w:p>
    <w:p>
      <w:pPr>
        <w:pStyle w:val="54"/>
        <w:rPr>
          <w:color w:val="auto"/>
          <w:highlight w:val="none"/>
        </w:rPr>
      </w:pPr>
    </w:p>
    <w:p>
      <w:pPr>
        <w:pStyle w:val="54"/>
        <w:rPr>
          <w:color w:val="auto"/>
          <w:highlight w:val="none"/>
        </w:rPr>
      </w:pPr>
    </w:p>
    <w:tbl>
      <w:tblPr>
        <w:tblStyle w:val="40"/>
        <w:tblW w:w="9379" w:type="dxa"/>
        <w:jc w:val="center"/>
        <w:tblLayout w:type="fixed"/>
        <w:tblCellMar>
          <w:top w:w="15" w:type="dxa"/>
          <w:left w:w="15" w:type="dxa"/>
          <w:bottom w:w="15" w:type="dxa"/>
          <w:right w:w="15" w:type="dxa"/>
        </w:tblCellMar>
      </w:tblPr>
      <w:tblGrid>
        <w:gridCol w:w="490"/>
        <w:gridCol w:w="1906"/>
        <w:gridCol w:w="195"/>
        <w:gridCol w:w="3419"/>
        <w:gridCol w:w="1715"/>
        <w:gridCol w:w="7"/>
        <w:gridCol w:w="759"/>
        <w:gridCol w:w="888"/>
      </w:tblGrid>
      <w:tr>
        <w:tblPrEx>
          <w:tblCellMar>
            <w:top w:w="15" w:type="dxa"/>
            <w:left w:w="15" w:type="dxa"/>
            <w:bottom w:w="15" w:type="dxa"/>
            <w:right w:w="15" w:type="dxa"/>
          </w:tblCellMar>
        </w:tblPrEx>
        <w:trPr>
          <w:trHeight w:val="653" w:hRule="atLeast"/>
          <w:jc w:val="center"/>
        </w:trPr>
        <w:tc>
          <w:tcPr>
            <w:tcW w:w="9379" w:type="dxa"/>
            <w:gridSpan w:val="8"/>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color w:val="auto"/>
                <w:sz w:val="40"/>
                <w:szCs w:val="40"/>
                <w:highlight w:val="none"/>
              </w:rPr>
            </w:pPr>
            <w:r>
              <w:rPr>
                <w:rFonts w:hint="eastAsia" w:ascii="宋体" w:hAnsi="宋体" w:eastAsia="宋体" w:cs="宋体"/>
                <w:b/>
                <w:color w:val="auto"/>
                <w:kern w:val="0"/>
                <w:sz w:val="40"/>
                <w:szCs w:val="40"/>
                <w:highlight w:val="none"/>
              </w:rPr>
              <w:t>规费、税金项目计价表</w:t>
            </w:r>
          </w:p>
        </w:tc>
      </w:tr>
      <w:tr>
        <w:tblPrEx>
          <w:tblCellMar>
            <w:top w:w="15" w:type="dxa"/>
            <w:left w:w="15" w:type="dxa"/>
            <w:bottom w:w="15" w:type="dxa"/>
            <w:right w:w="15" w:type="dxa"/>
          </w:tblCellMar>
        </w:tblPrEx>
        <w:trPr>
          <w:trHeight w:val="779" w:hRule="atLeast"/>
          <w:jc w:val="center"/>
        </w:trPr>
        <w:tc>
          <w:tcPr>
            <w:tcW w:w="2396" w:type="dxa"/>
            <w:gridSpan w:val="2"/>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工程名称：</w:t>
            </w:r>
          </w:p>
        </w:tc>
        <w:tc>
          <w:tcPr>
            <w:tcW w:w="5329" w:type="dxa"/>
            <w:gridSpan w:val="3"/>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标段：</w:t>
            </w:r>
          </w:p>
        </w:tc>
        <w:tc>
          <w:tcPr>
            <w:tcW w:w="1654" w:type="dxa"/>
            <w:gridSpan w:val="3"/>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第  页   共  页</w:t>
            </w:r>
          </w:p>
        </w:tc>
      </w:tr>
      <w:tr>
        <w:tblPrEx>
          <w:tblCellMar>
            <w:top w:w="15" w:type="dxa"/>
            <w:left w:w="15" w:type="dxa"/>
            <w:bottom w:w="15" w:type="dxa"/>
            <w:right w:w="15" w:type="dxa"/>
          </w:tblCellMar>
        </w:tblPrEx>
        <w:trPr>
          <w:trHeight w:val="683" w:hRule="atLeast"/>
          <w:jc w:val="center"/>
        </w:trPr>
        <w:tc>
          <w:tcPr>
            <w:tcW w:w="490" w:type="dxa"/>
            <w:tcBorders>
              <w:top w:val="single" w:color="000000" w:sz="12"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序号</w:t>
            </w:r>
          </w:p>
        </w:tc>
        <w:tc>
          <w:tcPr>
            <w:tcW w:w="2101"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项目名称</w:t>
            </w:r>
          </w:p>
        </w:tc>
        <w:tc>
          <w:tcPr>
            <w:tcW w:w="3419"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计算基础</w:t>
            </w:r>
          </w:p>
        </w:tc>
        <w:tc>
          <w:tcPr>
            <w:tcW w:w="1722" w:type="dxa"/>
            <w:gridSpan w:val="2"/>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计算基数</w:t>
            </w:r>
          </w:p>
        </w:tc>
        <w:tc>
          <w:tcPr>
            <w:tcW w:w="759" w:type="dxa"/>
            <w:tcBorders>
              <w:top w:val="single" w:color="000000" w:sz="12"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计算费率(%)</w:t>
            </w:r>
          </w:p>
        </w:tc>
        <w:tc>
          <w:tcPr>
            <w:tcW w:w="888" w:type="dxa"/>
            <w:tcBorders>
              <w:top w:val="single" w:color="000000" w:sz="12" w:space="0"/>
              <w:left w:val="single" w:color="000000" w:sz="4" w:space="0"/>
              <w:bottom w:val="single" w:color="000000" w:sz="4" w:space="0"/>
              <w:right w:val="single" w:color="000000" w:sz="12"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金额（元）</w:t>
            </w:r>
          </w:p>
        </w:tc>
      </w:tr>
      <w:tr>
        <w:tblPrEx>
          <w:tblCellMar>
            <w:top w:w="15" w:type="dxa"/>
            <w:left w:w="15" w:type="dxa"/>
            <w:bottom w:w="15" w:type="dxa"/>
            <w:right w:w="15" w:type="dxa"/>
          </w:tblCellMar>
        </w:tblPrEx>
        <w:trPr>
          <w:trHeight w:val="564"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规费</w:t>
            </w: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社会保障费+住房公积金+工程排污费+其它</w:t>
            </w: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564"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1.1</w:t>
            </w: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社会保障费</w:t>
            </w: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其中：人工费预算价+其中：机械费预算价</w:t>
            </w: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564"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1.2</w:t>
            </w: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住房公积金</w:t>
            </w: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其中：人工费预算价+其中：机械费预算价</w:t>
            </w: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52"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1.3</w:t>
            </w: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工程排污费</w:t>
            </w: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52"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1.4</w:t>
            </w: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其它</w:t>
            </w: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52"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2</w:t>
            </w: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税金</w:t>
            </w: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税费前工程造价合计</w:t>
            </w: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52"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52"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52"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52"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52"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52"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52"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52"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52"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52"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52"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52"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52"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52"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52"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352" w:hRule="atLeast"/>
          <w:jc w:val="center"/>
        </w:trPr>
        <w:tc>
          <w:tcPr>
            <w:tcW w:w="490" w:type="dxa"/>
            <w:tcBorders>
              <w:top w:val="single" w:color="000000" w:sz="4" w:space="0"/>
              <w:left w:val="single" w:color="000000" w:sz="12"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2101"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341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left"/>
              <w:rPr>
                <w:rFonts w:hint="default" w:ascii="宋体" w:hAnsi="宋体" w:eastAsia="宋体" w:cs="宋体"/>
                <w:color w:val="auto"/>
                <w:sz w:val="18"/>
                <w:szCs w:val="18"/>
                <w:highlight w:val="none"/>
              </w:rPr>
            </w:pPr>
          </w:p>
        </w:tc>
        <w:tc>
          <w:tcPr>
            <w:tcW w:w="1722" w:type="dxa"/>
            <w:gridSpan w:val="2"/>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c>
          <w:tcPr>
            <w:tcW w:w="759"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18"/>
                <w:szCs w:val="18"/>
                <w:highlight w:val="none"/>
              </w:rPr>
            </w:pPr>
          </w:p>
        </w:tc>
        <w:tc>
          <w:tcPr>
            <w:tcW w:w="888" w:type="dxa"/>
            <w:tcBorders>
              <w:top w:val="single" w:color="000000" w:sz="4" w:space="0"/>
              <w:left w:val="single" w:color="000000" w:sz="4" w:space="0"/>
              <w:bottom w:val="single" w:color="000000" w:sz="4"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r>
        <w:tblPrEx>
          <w:tblCellMar>
            <w:top w:w="15" w:type="dxa"/>
            <w:left w:w="15" w:type="dxa"/>
            <w:bottom w:w="15" w:type="dxa"/>
            <w:right w:w="15" w:type="dxa"/>
          </w:tblCellMar>
        </w:tblPrEx>
        <w:trPr>
          <w:trHeight w:val="474" w:hRule="atLeast"/>
          <w:jc w:val="center"/>
        </w:trPr>
        <w:tc>
          <w:tcPr>
            <w:tcW w:w="8491" w:type="dxa"/>
            <w:gridSpan w:val="7"/>
            <w:tcBorders>
              <w:top w:val="single" w:color="000000" w:sz="4" w:space="0"/>
              <w:left w:val="single" w:color="000000" w:sz="12" w:space="0"/>
              <w:bottom w:val="single" w:color="000000" w:sz="12" w:space="0"/>
              <w:right w:val="single" w:color="000000" w:sz="4" w:space="0"/>
            </w:tcBorders>
            <w:shd w:val="clear" w:color="FFFFFF"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合计</w:t>
            </w:r>
          </w:p>
        </w:tc>
        <w:tc>
          <w:tcPr>
            <w:tcW w:w="888" w:type="dxa"/>
            <w:tcBorders>
              <w:top w:val="single" w:color="000000" w:sz="4" w:space="0"/>
              <w:left w:val="single" w:color="000000" w:sz="4" w:space="0"/>
              <w:bottom w:val="single" w:color="000000" w:sz="12" w:space="0"/>
              <w:right w:val="single" w:color="000000" w:sz="12" w:space="0"/>
            </w:tcBorders>
            <w:shd w:val="clear" w:color="FFFFFF" w:fill="FFFFFF"/>
            <w:noWrap w:val="0"/>
            <w:vAlign w:val="center"/>
          </w:tcPr>
          <w:p>
            <w:pPr>
              <w:keepNext w:val="0"/>
              <w:keepLines w:val="0"/>
              <w:suppressLineNumbers w:val="0"/>
              <w:spacing w:before="0" w:beforeAutospacing="0" w:after="0" w:afterAutospacing="0"/>
              <w:ind w:left="0" w:right="0"/>
              <w:jc w:val="right"/>
              <w:rPr>
                <w:rFonts w:hint="default" w:ascii="宋体" w:hAnsi="宋体" w:eastAsia="宋体" w:cs="宋体"/>
                <w:color w:val="auto"/>
                <w:sz w:val="18"/>
                <w:szCs w:val="18"/>
                <w:highlight w:val="none"/>
              </w:rPr>
            </w:pPr>
          </w:p>
        </w:tc>
      </w:tr>
    </w:tbl>
    <w:p>
      <w:pPr>
        <w:pStyle w:val="54"/>
        <w:rPr>
          <w:color w:val="auto"/>
          <w:highlight w:val="none"/>
        </w:rPr>
      </w:pPr>
    </w:p>
    <w:p>
      <w:pPr>
        <w:pStyle w:val="54"/>
        <w:rPr>
          <w:color w:val="auto"/>
          <w:highlight w:val="none"/>
        </w:rPr>
      </w:pPr>
    </w:p>
    <w:p>
      <w:pPr>
        <w:pStyle w:val="54"/>
        <w:rPr>
          <w:color w:val="auto"/>
          <w:highlight w:val="none"/>
        </w:rPr>
      </w:pPr>
    </w:p>
    <w:p>
      <w:pPr>
        <w:pStyle w:val="54"/>
        <w:rPr>
          <w:color w:val="auto"/>
          <w:highlight w:val="none"/>
        </w:rPr>
      </w:pPr>
    </w:p>
    <w:p>
      <w:pPr>
        <w:pStyle w:val="54"/>
        <w:rPr>
          <w:color w:val="auto"/>
          <w:highlight w:val="none"/>
        </w:rPr>
      </w:pPr>
    </w:p>
    <w:p>
      <w:pPr>
        <w:pStyle w:val="54"/>
        <w:rPr>
          <w:color w:val="auto"/>
          <w:highlight w:val="none"/>
        </w:rPr>
      </w:pPr>
    </w:p>
    <w:tbl>
      <w:tblPr>
        <w:tblStyle w:val="40"/>
        <w:tblW w:w="9240" w:type="dxa"/>
        <w:jc w:val="center"/>
        <w:shd w:val="clear" w:color="auto" w:fill="auto"/>
        <w:tblLayout w:type="fixed"/>
        <w:tblCellMar>
          <w:top w:w="0" w:type="dxa"/>
          <w:left w:w="0" w:type="dxa"/>
          <w:bottom w:w="0" w:type="dxa"/>
          <w:right w:w="0" w:type="dxa"/>
        </w:tblCellMar>
      </w:tblPr>
      <w:tblGrid>
        <w:gridCol w:w="644"/>
        <w:gridCol w:w="2514"/>
        <w:gridCol w:w="933"/>
        <w:gridCol w:w="842"/>
        <w:gridCol w:w="1119"/>
        <w:gridCol w:w="1505"/>
        <w:gridCol w:w="1683"/>
      </w:tblGrid>
      <w:tr>
        <w:tblPrEx>
          <w:tblCellMar>
            <w:top w:w="0" w:type="dxa"/>
            <w:left w:w="0" w:type="dxa"/>
            <w:bottom w:w="0" w:type="dxa"/>
            <w:right w:w="0" w:type="dxa"/>
          </w:tblCellMar>
        </w:tblPrEx>
        <w:trPr>
          <w:trHeight w:val="683" w:hRule="atLeast"/>
          <w:jc w:val="center"/>
        </w:trPr>
        <w:tc>
          <w:tcPr>
            <w:tcW w:w="9240" w:type="dxa"/>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auto"/>
                <w:sz w:val="40"/>
                <w:szCs w:val="40"/>
                <w:highlight w:val="none"/>
                <w:u w:val="none"/>
              </w:rPr>
            </w:pPr>
            <w:r>
              <w:rPr>
                <w:rFonts w:hint="eastAsia" w:ascii="宋体" w:hAnsi="宋体" w:eastAsia="宋体" w:cs="宋体"/>
                <w:b/>
                <w:i w:val="0"/>
                <w:color w:val="auto"/>
                <w:kern w:val="0"/>
                <w:sz w:val="40"/>
                <w:szCs w:val="40"/>
                <w:highlight w:val="none"/>
                <w:u w:val="none"/>
                <w:lang w:val="en-US" w:eastAsia="zh-CN" w:bidi="ar"/>
              </w:rPr>
              <w:t>主要材料和工程设备选用表</w:t>
            </w:r>
          </w:p>
        </w:tc>
      </w:tr>
      <w:tr>
        <w:tblPrEx>
          <w:tblCellMar>
            <w:top w:w="0" w:type="dxa"/>
            <w:left w:w="0" w:type="dxa"/>
            <w:bottom w:w="0" w:type="dxa"/>
            <w:right w:w="0" w:type="dxa"/>
          </w:tblCellMar>
        </w:tblPrEx>
        <w:trPr>
          <w:trHeight w:val="555" w:hRule="atLeast"/>
          <w:jc w:val="center"/>
        </w:trPr>
        <w:tc>
          <w:tcPr>
            <w:tcW w:w="6052" w:type="dxa"/>
            <w:gridSpan w:val="5"/>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工程名称：</w:t>
            </w:r>
          </w:p>
        </w:tc>
        <w:tc>
          <w:tcPr>
            <w:tcW w:w="3188" w:type="dxa"/>
            <w:gridSpan w:val="2"/>
            <w:tcBorders>
              <w:top w:val="nil"/>
              <w:left w:val="nil"/>
              <w:bottom w:val="nil"/>
              <w:right w:val="nil"/>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371" w:hRule="atLeast"/>
          <w:jc w:val="center"/>
        </w:trPr>
        <w:tc>
          <w:tcPr>
            <w:tcW w:w="644" w:type="dxa"/>
            <w:tcBorders>
              <w:top w:val="single" w:color="000000" w:sz="8"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序号</w:t>
            </w:r>
          </w:p>
        </w:tc>
        <w:tc>
          <w:tcPr>
            <w:tcW w:w="2514"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材料设备名称</w:t>
            </w:r>
          </w:p>
        </w:tc>
        <w:tc>
          <w:tcPr>
            <w:tcW w:w="933"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单位</w:t>
            </w:r>
          </w:p>
        </w:tc>
        <w:tc>
          <w:tcPr>
            <w:tcW w:w="842"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市场价</w:t>
            </w:r>
          </w:p>
        </w:tc>
        <w:tc>
          <w:tcPr>
            <w:tcW w:w="1119"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数量</w:t>
            </w:r>
          </w:p>
        </w:tc>
        <w:tc>
          <w:tcPr>
            <w:tcW w:w="1505" w:type="dxa"/>
            <w:tcBorders>
              <w:top w:val="single" w:color="000000" w:sz="8"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规格型号</w:t>
            </w:r>
          </w:p>
        </w:tc>
        <w:tc>
          <w:tcPr>
            <w:tcW w:w="1683" w:type="dxa"/>
            <w:tcBorders>
              <w:top w:val="single" w:color="000000" w:sz="8"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备注</w:t>
            </w:r>
          </w:p>
        </w:tc>
      </w:tr>
      <w:tr>
        <w:tblPrEx>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644" w:type="dxa"/>
            <w:tcBorders>
              <w:top w:val="single" w:color="000000" w:sz="4" w:space="0"/>
              <w:left w:val="single" w:color="000000" w:sz="8"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251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933"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842"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auto"/>
                <w:sz w:val="18"/>
                <w:szCs w:val="18"/>
                <w:highlight w:val="none"/>
                <w:u w:val="none"/>
              </w:rPr>
            </w:pPr>
          </w:p>
        </w:tc>
        <w:tc>
          <w:tcPr>
            <w:tcW w:w="150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c>
          <w:tcPr>
            <w:tcW w:w="1683" w:type="dxa"/>
            <w:tcBorders>
              <w:top w:val="single" w:color="000000" w:sz="4" w:space="0"/>
              <w:left w:val="single" w:color="000000" w:sz="4" w:space="0"/>
              <w:bottom w:val="single" w:color="000000" w:sz="4" w:space="0"/>
              <w:right w:val="single" w:color="000000" w:sz="8" w:space="0"/>
            </w:tcBorders>
            <w:shd w:val="clear" w:color="FFFFFF" w:fill="FFFFFF"/>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18"/>
                <w:szCs w:val="18"/>
                <w:highlight w:val="none"/>
                <w:u w:val="none"/>
              </w:rPr>
            </w:pPr>
          </w:p>
        </w:tc>
      </w:tr>
      <w:tr>
        <w:tblPrEx>
          <w:shd w:val="clear" w:color="auto" w:fill="auto"/>
          <w:tblCellMar>
            <w:top w:w="0" w:type="dxa"/>
            <w:left w:w="0" w:type="dxa"/>
            <w:bottom w:w="0" w:type="dxa"/>
            <w:right w:w="0" w:type="dxa"/>
          </w:tblCellMar>
        </w:tblPrEx>
        <w:trPr>
          <w:trHeight w:val="360" w:hRule="atLeast"/>
          <w:jc w:val="center"/>
        </w:trPr>
        <w:tc>
          <w:tcPr>
            <w:tcW w:w="9240" w:type="dxa"/>
            <w:gridSpan w:val="7"/>
            <w:tcBorders>
              <w:top w:val="nil"/>
              <w:left w:val="nil"/>
              <w:bottom w:val="nil"/>
              <w:right w:val="nil"/>
            </w:tcBorders>
            <w:shd w:val="clear" w:color="FFFFFF" w:fill="FFFFFF"/>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注：本表中所列材料设备应仅限于承包人自行采购范围内的材料设备。本表格可以按照同样的格式扩展。</w:t>
            </w:r>
          </w:p>
        </w:tc>
      </w:tr>
    </w:tbl>
    <w:p>
      <w:pPr>
        <w:pStyle w:val="54"/>
        <w:rPr>
          <w:color w:val="auto"/>
          <w:highlight w:val="none"/>
        </w:rPr>
      </w:pPr>
    </w:p>
    <w:p>
      <w:pPr>
        <w:widowControl/>
        <w:spacing w:line="560" w:lineRule="atLeast"/>
        <w:jc w:val="left"/>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格式1</w:t>
      </w:r>
      <w:r>
        <w:rPr>
          <w:rFonts w:hint="eastAsia" w:ascii="宋体" w:hAnsi="宋体" w:cs="宋体"/>
          <w:b/>
          <w:bCs/>
          <w:color w:val="auto"/>
          <w:sz w:val="28"/>
          <w:szCs w:val="28"/>
          <w:highlight w:val="none"/>
          <w:lang w:val="en-US" w:eastAsia="zh-CN"/>
        </w:rPr>
        <w:t>3</w:t>
      </w:r>
    </w:p>
    <w:bookmarkEnd w:id="60"/>
    <w:bookmarkEnd w:id="61"/>
    <w:p>
      <w:pPr>
        <w:adjustRightInd w:val="0"/>
        <w:snapToGrid w:val="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商务条款偏离表</w:t>
      </w:r>
    </w:p>
    <w:p>
      <w:pPr>
        <w:adjustRightInd w:val="0"/>
        <w:snapToGrid w:val="0"/>
        <w:spacing w:line="360" w:lineRule="auto"/>
        <w:ind w:right="105" w:rightChars="5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包号：</w:t>
      </w:r>
    </w:p>
    <w:tbl>
      <w:tblPr>
        <w:tblStyle w:val="40"/>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339"/>
        <w:gridCol w:w="1442"/>
        <w:gridCol w:w="1262"/>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48" w:rightChars="-23"/>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43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73" w:rightChars="-3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采购文件的商务条款</w:t>
            </w:r>
          </w:p>
          <w:p>
            <w:pPr>
              <w:keepNext w:val="0"/>
              <w:keepLines w:val="0"/>
              <w:suppressLineNumbers w:val="0"/>
              <w:adjustRightInd w:val="0"/>
              <w:snapToGrid w:val="0"/>
              <w:spacing w:before="0" w:beforeAutospacing="0" w:after="0" w:afterAutospacing="0"/>
              <w:ind w:left="0" w:right="-73" w:rightChars="-3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color w:val="auto"/>
                <w:sz w:val="18"/>
                <w:szCs w:val="18"/>
                <w:highlight w:val="none"/>
              </w:rPr>
              <w:t>实质性要求及重要指标用★标注，★标注项不得负偏离，如果负偏离，则响应文件无效。</w:t>
            </w:r>
            <w:r>
              <w:rPr>
                <w:rFonts w:hint="eastAsia" w:ascii="宋体" w:hAnsi="宋体" w:eastAsia="宋体" w:cs="宋体"/>
                <w:color w:val="auto"/>
                <w:szCs w:val="21"/>
                <w:highlight w:val="none"/>
              </w:rPr>
              <w:t>）</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107" w:rightChars="-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响应文件响应内容</w:t>
            </w:r>
          </w:p>
        </w:tc>
        <w:tc>
          <w:tcPr>
            <w:tcW w:w="1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107" w:rightChars="-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偏离程度</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107" w:rightChars="-51"/>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hanging="1"/>
              <w:jc w:val="center"/>
              <w:rPr>
                <w:rFonts w:hint="eastAsia" w:ascii="宋体" w:hAnsi="宋体" w:eastAsia="宋体" w:cs="宋体"/>
                <w:color w:val="auto"/>
                <w:szCs w:val="21"/>
                <w:highlight w:val="none"/>
              </w:rPr>
            </w:pPr>
            <w:r>
              <w:rPr>
                <w:rFonts w:hint="eastAsia" w:ascii="宋体" w:hAnsi="宋体" w:eastAsia="宋体" w:cs="宋体"/>
                <w:b/>
                <w:color w:val="auto"/>
                <w:sz w:val="18"/>
                <w:szCs w:val="18"/>
                <w:highlight w:val="none"/>
              </w:rPr>
              <w:t>★</w:t>
            </w:r>
            <w:r>
              <w:rPr>
                <w:rFonts w:hint="eastAsia" w:ascii="宋体" w:hAnsi="宋体" w:eastAsia="宋体" w:cs="宋体"/>
                <w:color w:val="auto"/>
                <w:szCs w:val="21"/>
                <w:highlight w:val="none"/>
              </w:rPr>
              <w:t>1</w:t>
            </w:r>
          </w:p>
        </w:tc>
        <w:tc>
          <w:tcPr>
            <w:tcW w:w="43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计划</w:t>
            </w:r>
            <w:r>
              <w:rPr>
                <w:rFonts w:hint="eastAsia" w:ascii="宋体" w:hAnsi="宋体" w:eastAsia="宋体" w:cs="宋体"/>
                <w:color w:val="auto"/>
                <w:sz w:val="21"/>
                <w:szCs w:val="21"/>
                <w:highlight w:val="none"/>
              </w:rPr>
              <w:t>工期：</w:t>
            </w:r>
            <w:r>
              <w:rPr>
                <w:rFonts w:hint="eastAsia" w:ascii="宋体" w:hAnsi="宋体" w:cs="宋体"/>
                <w:color w:val="auto"/>
                <w:sz w:val="21"/>
                <w:szCs w:val="21"/>
                <w:highlight w:val="none"/>
                <w:lang w:val="en-US" w:eastAsia="zh-CN"/>
              </w:rPr>
              <w:t>25</w:t>
            </w:r>
            <w:r>
              <w:rPr>
                <w:rFonts w:hint="eastAsia"/>
                <w:color w:val="auto"/>
                <w:highlight w:val="none"/>
                <w:lang w:val="en-US" w:eastAsia="zh-CN"/>
              </w:rPr>
              <w:t>日历天（建设单位可根据实际情况调整开竣工时间）</w:t>
            </w:r>
            <w:r>
              <w:rPr>
                <w:rFonts w:hint="eastAsia"/>
                <w:color w:val="auto"/>
                <w:highlight w:val="none"/>
                <w:lang w:eastAsia="zh-CN"/>
              </w:rPr>
              <w:t>。</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0"/>
              </w:tabs>
              <w:spacing w:before="0" w:beforeAutospacing="0" w:after="0" w:afterAutospacing="0" w:line="240" w:lineRule="exact"/>
              <w:ind w:left="0" w:right="0"/>
              <w:jc w:val="center"/>
              <w:rPr>
                <w:rFonts w:hint="eastAsia" w:ascii="宋体" w:hAnsi="宋体" w:eastAsia="宋体" w:cs="宋体"/>
                <w:color w:val="auto"/>
                <w:kern w:val="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0"/>
              </w:tabs>
              <w:spacing w:before="0" w:beforeAutospacing="0" w:after="0" w:afterAutospacing="0" w:line="24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hanging="1"/>
              <w:jc w:val="center"/>
              <w:rPr>
                <w:rFonts w:hint="eastAsia" w:ascii="宋体" w:hAnsi="宋体" w:eastAsia="宋体" w:cs="宋体"/>
                <w:color w:val="auto"/>
                <w:szCs w:val="21"/>
                <w:highlight w:val="none"/>
              </w:rPr>
            </w:pPr>
            <w:r>
              <w:rPr>
                <w:rFonts w:hint="eastAsia" w:ascii="宋体" w:hAnsi="宋体" w:eastAsia="宋体" w:cs="宋体"/>
                <w:b/>
                <w:color w:val="auto"/>
                <w:sz w:val="18"/>
                <w:szCs w:val="18"/>
                <w:highlight w:val="none"/>
              </w:rPr>
              <w:t>★</w:t>
            </w:r>
            <w:r>
              <w:rPr>
                <w:rFonts w:hint="eastAsia" w:ascii="宋体" w:hAnsi="宋体" w:eastAsia="宋体" w:cs="宋体"/>
                <w:color w:val="auto"/>
                <w:szCs w:val="21"/>
                <w:highlight w:val="none"/>
              </w:rPr>
              <w:t>2</w:t>
            </w:r>
          </w:p>
        </w:tc>
        <w:tc>
          <w:tcPr>
            <w:tcW w:w="43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hanging="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建设</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en-US" w:eastAsia="zh-CN"/>
              </w:rPr>
              <w:t>锦州市</w:t>
            </w:r>
            <w:r>
              <w:rPr>
                <w:rFonts w:hint="eastAsia" w:ascii="宋体" w:hAnsi="宋体" w:cs="宋体"/>
                <w:color w:val="auto"/>
                <w:sz w:val="21"/>
                <w:szCs w:val="21"/>
                <w:highlight w:val="none"/>
                <w:lang w:val="en-US" w:eastAsia="zh-CN"/>
              </w:rPr>
              <w:t>凌海市</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0"/>
              </w:tabs>
              <w:spacing w:before="0" w:beforeAutospacing="0" w:after="0" w:afterAutospacing="0" w:line="240" w:lineRule="exact"/>
              <w:ind w:left="0" w:right="0"/>
              <w:jc w:val="center"/>
              <w:rPr>
                <w:rFonts w:hint="eastAsia" w:ascii="宋体" w:hAnsi="宋体" w:eastAsia="宋体" w:cs="宋体"/>
                <w:color w:val="auto"/>
                <w:kern w:val="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0"/>
              </w:tabs>
              <w:spacing w:before="0" w:beforeAutospacing="0" w:after="0" w:afterAutospacing="0" w:line="24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hanging="1"/>
              <w:jc w:val="center"/>
              <w:rPr>
                <w:rFonts w:hint="eastAsia" w:ascii="宋体" w:hAnsi="宋体" w:eastAsia="宋体" w:cs="宋体"/>
                <w:color w:val="auto"/>
                <w:szCs w:val="21"/>
                <w:highlight w:val="none"/>
              </w:rPr>
            </w:pPr>
            <w:r>
              <w:rPr>
                <w:rFonts w:hint="eastAsia" w:ascii="宋体" w:hAnsi="宋体" w:eastAsia="宋体" w:cs="宋体"/>
                <w:b/>
                <w:color w:val="auto"/>
                <w:sz w:val="18"/>
                <w:szCs w:val="18"/>
                <w:highlight w:val="none"/>
              </w:rPr>
              <w:t>★</w:t>
            </w:r>
            <w:r>
              <w:rPr>
                <w:rFonts w:hint="eastAsia" w:ascii="宋体" w:hAnsi="宋体" w:eastAsia="宋体" w:cs="宋体"/>
                <w:color w:val="auto"/>
                <w:szCs w:val="21"/>
                <w:highlight w:val="none"/>
              </w:rPr>
              <w:t>3</w:t>
            </w:r>
          </w:p>
        </w:tc>
        <w:tc>
          <w:tcPr>
            <w:tcW w:w="43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hanging="1"/>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付款方式：</w:t>
            </w:r>
            <w:r>
              <w:rPr>
                <w:rFonts w:hint="eastAsia" w:ascii="宋体" w:hAnsi="宋体" w:cs="宋体"/>
                <w:color w:val="auto"/>
                <w:sz w:val="21"/>
                <w:szCs w:val="21"/>
                <w:highlight w:val="none"/>
                <w:lang w:val="en-US" w:eastAsia="zh-CN"/>
              </w:rPr>
              <w:t>合同签订后预付总价款的20%，工程全部验收合格后，支付剩余尾款。</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0"/>
              </w:tabs>
              <w:spacing w:before="0" w:beforeAutospacing="0" w:after="0" w:afterAutospacing="0" w:line="240" w:lineRule="exact"/>
              <w:ind w:left="0" w:right="0"/>
              <w:jc w:val="center"/>
              <w:rPr>
                <w:rFonts w:hint="eastAsia" w:ascii="宋体" w:hAnsi="宋体" w:eastAsia="宋体" w:cs="宋体"/>
                <w:color w:val="auto"/>
                <w:kern w:val="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0"/>
              </w:tabs>
              <w:spacing w:before="0" w:beforeAutospacing="0" w:after="0" w:afterAutospacing="0" w:line="24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hanging="1"/>
              <w:jc w:val="center"/>
              <w:rPr>
                <w:rFonts w:hint="eastAsia" w:ascii="宋体" w:hAnsi="宋体" w:eastAsia="宋体" w:cs="宋体"/>
                <w:color w:val="auto"/>
                <w:szCs w:val="21"/>
                <w:highlight w:val="none"/>
              </w:rPr>
            </w:pPr>
            <w:r>
              <w:rPr>
                <w:rFonts w:hint="eastAsia" w:ascii="宋体" w:hAnsi="宋体" w:eastAsia="宋体" w:cs="宋体"/>
                <w:b/>
                <w:color w:val="auto"/>
                <w:sz w:val="18"/>
                <w:szCs w:val="18"/>
                <w:highlight w:val="none"/>
              </w:rPr>
              <w:t>★</w:t>
            </w:r>
            <w:r>
              <w:rPr>
                <w:rFonts w:hint="eastAsia" w:ascii="宋体" w:hAnsi="宋体" w:eastAsia="宋体" w:cs="宋体"/>
                <w:color w:val="auto"/>
                <w:szCs w:val="21"/>
                <w:highlight w:val="none"/>
              </w:rPr>
              <w:t>4</w:t>
            </w:r>
          </w:p>
        </w:tc>
        <w:tc>
          <w:tcPr>
            <w:tcW w:w="43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hanging="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合同</w:t>
            </w:r>
            <w:r>
              <w:rPr>
                <w:rFonts w:hint="eastAsia" w:ascii="宋体" w:hAnsi="宋体" w:eastAsia="宋体" w:cs="宋体"/>
                <w:color w:val="auto"/>
                <w:szCs w:val="21"/>
                <w:highlight w:val="none"/>
                <w:lang w:eastAsia="zh-CN"/>
              </w:rPr>
              <w:t>形式</w:t>
            </w:r>
            <w:r>
              <w:rPr>
                <w:rFonts w:hint="eastAsia" w:ascii="宋体" w:hAnsi="宋体" w:eastAsia="宋体" w:cs="宋体"/>
                <w:color w:val="auto"/>
                <w:szCs w:val="21"/>
                <w:highlight w:val="none"/>
              </w:rPr>
              <w:t>：</w:t>
            </w:r>
            <w:r>
              <w:rPr>
                <w:rFonts w:hint="eastAsia" w:ascii="宋体" w:hAnsi="宋体" w:eastAsia="宋体" w:cs="宋体"/>
                <w:highlight w:val="none"/>
                <w:lang w:eastAsia="zh-CN"/>
              </w:rPr>
              <w:t>固定综合单价</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0"/>
              </w:tabs>
              <w:spacing w:before="0" w:beforeAutospacing="0" w:after="0" w:afterAutospacing="0" w:line="240" w:lineRule="exact"/>
              <w:ind w:left="0" w:right="0"/>
              <w:jc w:val="center"/>
              <w:rPr>
                <w:rFonts w:hint="eastAsia" w:ascii="宋体" w:hAnsi="宋体" w:eastAsia="宋体" w:cs="宋体"/>
                <w:color w:val="auto"/>
                <w:kern w:val="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0"/>
              </w:tabs>
              <w:spacing w:before="0" w:beforeAutospacing="0" w:after="0" w:afterAutospacing="0" w:line="24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hanging="1"/>
              <w:jc w:val="center"/>
              <w:rPr>
                <w:rFonts w:hint="eastAsia" w:ascii="宋体" w:hAnsi="宋体" w:eastAsia="宋体" w:cs="宋体"/>
                <w:color w:val="auto"/>
                <w:szCs w:val="21"/>
                <w:highlight w:val="none"/>
              </w:rPr>
            </w:pPr>
            <w:r>
              <w:rPr>
                <w:rFonts w:hint="eastAsia" w:ascii="宋体" w:hAnsi="宋体" w:eastAsia="宋体" w:cs="宋体"/>
                <w:b/>
                <w:color w:val="auto"/>
                <w:sz w:val="18"/>
                <w:szCs w:val="18"/>
                <w:highlight w:val="none"/>
              </w:rPr>
              <w:t>★</w:t>
            </w:r>
            <w:r>
              <w:rPr>
                <w:rFonts w:hint="eastAsia" w:ascii="宋体" w:hAnsi="宋体" w:eastAsia="宋体" w:cs="宋体"/>
                <w:color w:val="auto"/>
                <w:szCs w:val="21"/>
                <w:highlight w:val="none"/>
              </w:rPr>
              <w:t>5</w:t>
            </w:r>
          </w:p>
        </w:tc>
        <w:tc>
          <w:tcPr>
            <w:tcW w:w="43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hanging="1"/>
              <w:rPr>
                <w:rFonts w:hint="eastAsia" w:ascii="宋体" w:hAnsi="宋体" w:eastAsia="宋体" w:cs="宋体"/>
                <w:color w:val="auto"/>
                <w:highlight w:val="none"/>
              </w:rPr>
            </w:pPr>
            <w:r>
              <w:rPr>
                <w:rFonts w:hint="eastAsia" w:ascii="宋体" w:hAnsi="宋体" w:eastAsia="宋体" w:cs="宋体"/>
                <w:color w:val="auto"/>
                <w:szCs w:val="21"/>
                <w:highlight w:val="none"/>
              </w:rPr>
              <w:t>质量标准：</w:t>
            </w:r>
            <w:r>
              <w:rPr>
                <w:rFonts w:hint="eastAsia" w:ascii="宋体" w:hAnsi="宋体" w:eastAsia="宋体" w:cs="宋体"/>
                <w:color w:val="auto"/>
                <w:szCs w:val="21"/>
                <w:highlight w:val="none"/>
                <w:lang w:eastAsia="zh-CN"/>
              </w:rPr>
              <w:t xml:space="preserve">合格 </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0"/>
              </w:tabs>
              <w:spacing w:before="0" w:beforeAutospacing="0" w:after="0" w:afterAutospacing="0" w:line="240" w:lineRule="exact"/>
              <w:ind w:left="0" w:right="0"/>
              <w:jc w:val="center"/>
              <w:rPr>
                <w:rFonts w:hint="eastAsia" w:ascii="宋体" w:hAnsi="宋体" w:eastAsia="宋体" w:cs="宋体"/>
                <w:color w:val="auto"/>
                <w:kern w:val="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0"/>
              </w:tabs>
              <w:spacing w:before="0" w:beforeAutospacing="0" w:after="0" w:afterAutospacing="0" w:line="24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hanging="1" w:firstLineChars="0"/>
              <w:jc w:val="center"/>
              <w:rPr>
                <w:rFonts w:hint="eastAsia" w:ascii="宋体" w:hAnsi="宋体" w:eastAsia="宋体" w:cs="宋体"/>
                <w:color w:val="auto"/>
                <w:szCs w:val="21"/>
                <w:highlight w:val="none"/>
                <w:lang w:val="en-US" w:eastAsia="zh-CN"/>
              </w:rPr>
            </w:pPr>
            <w:r>
              <w:rPr>
                <w:rFonts w:hint="eastAsia" w:ascii="宋体" w:hAnsi="宋体" w:eastAsia="宋体" w:cs="宋体"/>
                <w:b/>
                <w:color w:val="auto"/>
                <w:sz w:val="18"/>
                <w:szCs w:val="18"/>
                <w:highlight w:val="none"/>
              </w:rPr>
              <w:t>★</w:t>
            </w:r>
            <w:r>
              <w:rPr>
                <w:rFonts w:hint="eastAsia" w:ascii="宋体" w:hAnsi="宋体" w:cs="宋体"/>
                <w:b/>
                <w:color w:val="auto"/>
                <w:sz w:val="18"/>
                <w:szCs w:val="18"/>
                <w:highlight w:val="none"/>
                <w:lang w:val="en-US" w:eastAsia="zh-CN"/>
              </w:rPr>
              <w:t>6</w:t>
            </w:r>
          </w:p>
        </w:tc>
        <w:tc>
          <w:tcPr>
            <w:tcW w:w="43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leftChars="0" w:right="0" w:rightChars="0" w:hanging="1"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质保期：</w:t>
            </w:r>
            <w:r>
              <w:rPr>
                <w:rFonts w:hint="eastAsia" w:ascii="宋体" w:hAnsi="宋体" w:cs="宋体"/>
                <w:color w:val="auto"/>
                <w:highlight w:val="none"/>
                <w:lang w:val="en-US" w:eastAsia="zh-CN"/>
              </w:rPr>
              <w:t>验收合格后一</w:t>
            </w:r>
            <w:r>
              <w:rPr>
                <w:rFonts w:hint="eastAsia" w:ascii="宋体" w:hAnsi="宋体" w:eastAsia="宋体" w:cs="宋体"/>
                <w:color w:val="auto"/>
                <w:highlight w:val="none"/>
                <w:lang w:val="en-US" w:eastAsia="zh-CN"/>
              </w:rPr>
              <w:t>年</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0"/>
              </w:tabs>
              <w:spacing w:before="0" w:beforeAutospacing="0" w:after="0" w:afterAutospacing="0" w:line="240" w:lineRule="exact"/>
              <w:ind w:left="0" w:right="0"/>
              <w:jc w:val="center"/>
              <w:rPr>
                <w:rFonts w:hint="eastAsia" w:ascii="宋体" w:hAnsi="宋体" w:eastAsia="宋体" w:cs="宋体"/>
                <w:color w:val="auto"/>
                <w:kern w:val="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0"/>
              </w:tabs>
              <w:spacing w:before="0" w:beforeAutospacing="0" w:after="0" w:afterAutospacing="0" w:line="240" w:lineRule="exact"/>
              <w:ind w:left="0" w:right="0"/>
              <w:jc w:val="center"/>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hanging="1"/>
              <w:jc w:val="center"/>
              <w:rPr>
                <w:rFonts w:hint="eastAsia" w:ascii="宋体" w:hAnsi="宋体" w:eastAsia="宋体" w:cs="宋体"/>
                <w:color w:val="auto"/>
                <w:szCs w:val="21"/>
                <w:highlight w:val="none"/>
                <w:lang w:val="en-US" w:eastAsia="zh-CN"/>
              </w:rPr>
            </w:pPr>
            <w:r>
              <w:rPr>
                <w:rFonts w:hint="eastAsia" w:ascii="宋体" w:hAnsi="宋体" w:eastAsia="宋体" w:cs="宋体"/>
                <w:b/>
                <w:color w:val="auto"/>
                <w:sz w:val="18"/>
                <w:szCs w:val="18"/>
                <w:highlight w:val="none"/>
              </w:rPr>
              <w:t>★</w:t>
            </w:r>
            <w:r>
              <w:rPr>
                <w:rFonts w:hint="eastAsia" w:ascii="宋体" w:hAnsi="宋体" w:cs="宋体"/>
                <w:b/>
                <w:color w:val="auto"/>
                <w:sz w:val="18"/>
                <w:szCs w:val="18"/>
                <w:highlight w:val="none"/>
                <w:lang w:val="en-US" w:eastAsia="zh-CN"/>
              </w:rPr>
              <w:t>7</w:t>
            </w:r>
          </w:p>
        </w:tc>
        <w:tc>
          <w:tcPr>
            <w:tcW w:w="43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hanging="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验收标准：《辽宁省政府采购履约验收管理办法》[辽财采函〔2017〕603号]</w:t>
            </w:r>
          </w:p>
          <w:p>
            <w:pPr>
              <w:keepNext w:val="0"/>
              <w:keepLines w:val="0"/>
              <w:suppressLineNumbers w:val="0"/>
              <w:adjustRightInd w:val="0"/>
              <w:snapToGrid w:val="0"/>
              <w:spacing w:before="0" w:beforeAutospacing="0" w:after="0" w:afterAutospacing="0"/>
              <w:ind w:left="0" w:right="0" w:hanging="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验收程序：《辽宁省政府采购履约验收管理办法》[辽财采函〔2017〕603号]</w:t>
            </w:r>
          </w:p>
          <w:p>
            <w:pPr>
              <w:keepNext w:val="0"/>
              <w:keepLines w:val="0"/>
              <w:suppressLineNumbers w:val="0"/>
              <w:adjustRightInd w:val="0"/>
              <w:snapToGrid w:val="0"/>
              <w:spacing w:before="0" w:beforeAutospacing="0" w:after="0" w:afterAutospacing="0"/>
              <w:ind w:left="0" w:right="0" w:hanging="1"/>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验收报告：《辽宁省政府采购履约验收管理办法》[辽财采函〔2017〕603号]</w:t>
            </w:r>
          </w:p>
          <w:p>
            <w:pPr>
              <w:keepNext w:val="0"/>
              <w:keepLines w:val="0"/>
              <w:suppressLineNumbers w:val="0"/>
              <w:adjustRightInd w:val="0"/>
              <w:snapToGrid w:val="0"/>
              <w:spacing w:before="0" w:beforeAutospacing="0" w:after="0" w:afterAutospacing="0"/>
              <w:ind w:left="0" w:right="0" w:hanging="1"/>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组织验收主体：本项目的履约验收工作由采购人依法组织实施。</w:t>
            </w:r>
          </w:p>
        </w:tc>
        <w:tc>
          <w:tcPr>
            <w:tcW w:w="14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0"/>
              </w:tabs>
              <w:adjustRightInd w:val="0"/>
              <w:snapToGrid w:val="0"/>
              <w:spacing w:before="0" w:beforeAutospacing="0" w:after="0" w:afterAutospacing="0"/>
              <w:ind w:left="0" w:right="0"/>
              <w:jc w:val="center"/>
              <w:rPr>
                <w:rFonts w:hint="eastAsia" w:ascii="宋体" w:hAnsi="宋体" w:eastAsia="宋体" w:cs="宋体"/>
                <w:color w:val="auto"/>
                <w:kern w:val="0"/>
                <w:szCs w:val="21"/>
                <w:highlight w:val="none"/>
              </w:rPr>
            </w:pPr>
          </w:p>
        </w:tc>
        <w:tc>
          <w:tcPr>
            <w:tcW w:w="12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0"/>
              </w:tabs>
              <w:spacing w:before="0" w:beforeAutospacing="0" w:after="0" w:afterAutospacing="0" w:line="240" w:lineRule="exact"/>
              <w:ind w:left="0" w:right="0"/>
              <w:jc w:val="center"/>
              <w:rPr>
                <w:rFonts w:hint="eastAsia" w:ascii="宋体" w:hAnsi="宋体" w:eastAsia="宋体" w:cs="宋体"/>
                <w:color w:val="auto"/>
                <w:kern w:val="0"/>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0"/>
              </w:tabs>
              <w:spacing w:before="0" w:beforeAutospacing="0" w:after="0" w:afterAutospacing="0" w:line="240" w:lineRule="exact"/>
              <w:ind w:left="0" w:right="0"/>
              <w:jc w:val="center"/>
              <w:rPr>
                <w:rFonts w:hint="eastAsia" w:ascii="宋体" w:hAnsi="宋体" w:eastAsia="宋体" w:cs="宋体"/>
                <w:color w:val="auto"/>
                <w:kern w:val="0"/>
                <w:szCs w:val="21"/>
                <w:highlight w:val="none"/>
              </w:rPr>
            </w:pPr>
          </w:p>
        </w:tc>
      </w:tr>
    </w:tbl>
    <w:p>
      <w:pPr>
        <w:adjustRightInd w:val="0"/>
        <w:snapToGrid w:val="0"/>
        <w:spacing w:line="360" w:lineRule="auto"/>
        <w:ind w:right="105" w:rightChars="5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填表说明：</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1．“响应文件响应内容”一栏由供应商填写。</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2．“偏离程度”一栏根据“响应文件响应内容”与采购文件逐项对照的结果填写。偏离必须用 “正偏离、负偏离或无偏离”三个名称中的一种进行标注。</w:t>
      </w:r>
    </w:p>
    <w:p>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3．“偏离说明”一栏由供应商对偏离的情况做详细说明。</w:t>
      </w:r>
    </w:p>
    <w:p>
      <w:pPr>
        <w:adjustRightInd w:val="0"/>
        <w:snapToGrid w:val="0"/>
        <w:spacing w:line="312" w:lineRule="auto"/>
        <w:ind w:right="105" w:rightChars="50" w:firstLine="420" w:firstLineChars="200"/>
        <w:jc w:val="left"/>
        <w:rPr>
          <w:rFonts w:hint="eastAsia" w:ascii="宋体" w:hAnsi="宋体" w:eastAsia="宋体" w:cs="宋体"/>
          <w:color w:val="auto"/>
          <w:szCs w:val="21"/>
          <w:highlight w:val="none"/>
        </w:rPr>
      </w:pPr>
    </w:p>
    <w:p>
      <w:pPr>
        <w:adjustRightInd w:val="0"/>
        <w:snapToGrid w:val="0"/>
        <w:spacing w:line="480" w:lineRule="auto"/>
        <w:ind w:right="105" w:rightChars="50"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供应商(加盖单位公章):</w:t>
      </w:r>
      <w:r>
        <w:rPr>
          <w:rFonts w:hint="eastAsia" w:ascii="宋体" w:hAnsi="宋体" w:eastAsia="宋体" w:cs="宋体"/>
          <w:color w:val="auto"/>
          <w:szCs w:val="21"/>
          <w:highlight w:val="none"/>
          <w:u w:val="single"/>
        </w:rPr>
        <w:t xml:space="preserve">               </w:t>
      </w:r>
    </w:p>
    <w:p>
      <w:pPr>
        <w:adjustRightInd w:val="0"/>
        <w:snapToGrid w:val="0"/>
        <w:spacing w:line="480" w:lineRule="auto"/>
        <w:ind w:right="105" w:rightChars="50"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法定代表人（或非法人组织负责人）或其授权委托人</w:t>
      </w:r>
      <w:r>
        <w:rPr>
          <w:rFonts w:hint="eastAsia" w:ascii="宋体" w:hAnsi="宋体" w:eastAsia="宋体" w:cs="宋体"/>
          <w:color w:val="auto"/>
          <w:highlight w:val="none"/>
        </w:rPr>
        <w:t>(签字或盖章)</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p>
    <w:p>
      <w:pPr>
        <w:wordWrap w:val="0"/>
        <w:adjustRightInd w:val="0"/>
        <w:snapToGrid w:val="0"/>
        <w:spacing w:line="480" w:lineRule="auto"/>
        <w:ind w:right="105" w:rightChars="50" w:firstLine="420" w:firstLineChars="200"/>
        <w:rPr>
          <w:rFonts w:hint="default" w:ascii="宋体" w:hAnsi="宋体" w:eastAsia="宋体" w:cs="宋体"/>
          <w:bCs/>
          <w:color w:val="auto"/>
          <w:sz w:val="28"/>
          <w:szCs w:val="28"/>
          <w:highlight w:val="none"/>
          <w:lang w:val="en-US" w:eastAsia="zh-CN"/>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highlight w:val="none"/>
        </w:rPr>
        <w:br w:type="page"/>
      </w:r>
      <w:bookmarkStart w:id="62" w:name="_Toc4485638"/>
      <w:bookmarkStart w:id="63" w:name="_Toc533340162"/>
      <w:r>
        <w:rPr>
          <w:rFonts w:hint="eastAsia" w:ascii="宋体" w:hAnsi="宋体" w:eastAsia="宋体" w:cs="宋体"/>
          <w:b/>
          <w:bCs/>
          <w:color w:val="auto"/>
          <w:sz w:val="28"/>
          <w:szCs w:val="28"/>
          <w:highlight w:val="none"/>
        </w:rPr>
        <w:t>格式1</w:t>
      </w:r>
      <w:bookmarkEnd w:id="62"/>
      <w:bookmarkEnd w:id="63"/>
      <w:r>
        <w:rPr>
          <w:rFonts w:hint="eastAsia" w:ascii="宋体" w:hAnsi="宋体" w:eastAsia="宋体" w:cs="宋体"/>
          <w:b/>
          <w:bCs/>
          <w:color w:val="auto"/>
          <w:sz w:val="28"/>
          <w:szCs w:val="28"/>
          <w:highlight w:val="none"/>
          <w:lang w:val="en-US" w:eastAsia="zh-CN"/>
        </w:rPr>
        <w:t>4</w:t>
      </w:r>
    </w:p>
    <w:p>
      <w:pPr>
        <w:spacing w:before="319" w:beforeLines="100" w:after="319" w:afterLines="10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供应商关联单位的说明</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说明：供应商应当如实披露与本单位存在下列关联关系的单位名称：</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（1）与供应商单位法定代表人（或非法人组织负责人）为同一人的其他单位；</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（2）与供应商存在直接控股、管理关系的其他单位。</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注：若无此情形，写“无”即可</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p>
    <w:p>
      <w:pPr>
        <w:adjustRightInd w:val="0"/>
        <w:snapToGrid w:val="0"/>
        <w:spacing w:line="360" w:lineRule="auto"/>
        <w:ind w:right="105" w:rightChars="50"/>
        <w:jc w:val="left"/>
        <w:rPr>
          <w:rFonts w:hint="eastAsia" w:ascii="宋体" w:hAnsi="宋体" w:eastAsia="宋体" w:cs="宋体"/>
          <w:color w:val="auto"/>
          <w:szCs w:val="21"/>
          <w:highlight w:val="none"/>
        </w:rPr>
      </w:pPr>
    </w:p>
    <w:p>
      <w:pPr>
        <w:adjustRightInd w:val="0"/>
        <w:snapToGrid w:val="0"/>
        <w:spacing w:line="360" w:lineRule="auto"/>
        <w:ind w:right="105" w:rightChars="50"/>
        <w:jc w:val="left"/>
        <w:rPr>
          <w:rFonts w:hint="eastAsia" w:ascii="宋体" w:hAnsi="宋体" w:eastAsia="宋体" w:cs="宋体"/>
          <w:color w:val="auto"/>
          <w:szCs w:val="21"/>
          <w:highlight w:val="none"/>
        </w:rPr>
      </w:pPr>
    </w:p>
    <w:p>
      <w:pPr>
        <w:adjustRightInd w:val="0"/>
        <w:snapToGrid w:val="0"/>
        <w:spacing w:line="360" w:lineRule="auto"/>
        <w:ind w:right="105" w:rightChars="50"/>
        <w:jc w:val="left"/>
        <w:rPr>
          <w:rFonts w:hint="eastAsia" w:ascii="宋体" w:hAnsi="宋体" w:eastAsia="宋体" w:cs="宋体"/>
          <w:color w:val="auto"/>
          <w:szCs w:val="21"/>
          <w:highlight w:val="none"/>
        </w:rPr>
      </w:pPr>
    </w:p>
    <w:p>
      <w:pPr>
        <w:adjustRightInd w:val="0"/>
        <w:snapToGrid w:val="0"/>
        <w:spacing w:line="360" w:lineRule="auto"/>
        <w:ind w:right="105" w:rightChars="50"/>
        <w:jc w:val="left"/>
        <w:rPr>
          <w:rFonts w:hint="eastAsia" w:ascii="宋体" w:hAnsi="宋体" w:eastAsia="宋体" w:cs="宋体"/>
          <w:color w:val="auto"/>
          <w:szCs w:val="21"/>
          <w:highlight w:val="none"/>
        </w:rPr>
      </w:pPr>
    </w:p>
    <w:p>
      <w:pPr>
        <w:adjustRightInd w:val="0"/>
        <w:snapToGrid w:val="0"/>
        <w:spacing w:line="360" w:lineRule="auto"/>
        <w:ind w:right="105" w:rightChars="50"/>
        <w:jc w:val="left"/>
        <w:rPr>
          <w:rFonts w:hint="eastAsia" w:ascii="宋体" w:hAnsi="宋体" w:eastAsia="宋体" w:cs="宋体"/>
          <w:color w:val="auto"/>
          <w:szCs w:val="21"/>
          <w:highlight w:val="none"/>
        </w:rPr>
      </w:pPr>
    </w:p>
    <w:p>
      <w:pPr>
        <w:adjustRightInd w:val="0"/>
        <w:snapToGrid w:val="0"/>
        <w:spacing w:line="360" w:lineRule="auto"/>
        <w:ind w:right="105" w:rightChars="50"/>
        <w:jc w:val="left"/>
        <w:rPr>
          <w:rFonts w:hint="eastAsia" w:ascii="宋体" w:hAnsi="宋体" w:eastAsia="宋体" w:cs="宋体"/>
          <w:color w:val="auto"/>
          <w:szCs w:val="21"/>
          <w:highlight w:val="none"/>
        </w:rPr>
      </w:pPr>
    </w:p>
    <w:p>
      <w:pPr>
        <w:adjustRightInd w:val="0"/>
        <w:snapToGrid w:val="0"/>
        <w:spacing w:line="360" w:lineRule="auto"/>
        <w:ind w:right="105" w:rightChars="50"/>
        <w:jc w:val="left"/>
        <w:rPr>
          <w:rFonts w:hint="eastAsia" w:ascii="宋体" w:hAnsi="宋体" w:eastAsia="宋体" w:cs="宋体"/>
          <w:color w:val="auto"/>
          <w:szCs w:val="21"/>
          <w:highlight w:val="none"/>
        </w:rPr>
      </w:pP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供应商名称（加盖单位公章）：</w:t>
      </w:r>
      <w:r>
        <w:rPr>
          <w:rFonts w:hint="eastAsia" w:ascii="宋体" w:hAnsi="宋体" w:eastAsia="宋体" w:cs="宋体"/>
          <w:color w:val="auto"/>
          <w:highlight w:val="none"/>
          <w:u w:val="single"/>
        </w:rPr>
        <w:t xml:space="preserve">           </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法定代表人（或</w:t>
      </w:r>
      <w:r>
        <w:rPr>
          <w:rFonts w:hint="eastAsia" w:ascii="宋体" w:hAnsi="宋体" w:eastAsia="宋体" w:cs="宋体"/>
          <w:color w:val="auto"/>
          <w:szCs w:val="21"/>
          <w:highlight w:val="none"/>
        </w:rPr>
        <w:t>非法人组织负责人）或</w:t>
      </w:r>
      <w:r>
        <w:rPr>
          <w:rFonts w:hint="eastAsia" w:ascii="宋体" w:hAnsi="宋体" w:eastAsia="宋体" w:cs="宋体"/>
          <w:color w:val="auto"/>
          <w:highlight w:val="none"/>
        </w:rPr>
        <w:t>其授权委托人(签字或盖章)：</w:t>
      </w:r>
      <w:r>
        <w:rPr>
          <w:rFonts w:hint="eastAsia" w:ascii="宋体" w:hAnsi="宋体" w:eastAsia="宋体" w:cs="宋体"/>
          <w:color w:val="auto"/>
          <w:highlight w:val="none"/>
          <w:u w:val="single"/>
        </w:rPr>
        <w:t xml:space="preserve">           </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highlight w:val="none"/>
          <w:u w:val="single"/>
        </w:rPr>
        <w:t xml:space="preserve">                </w:t>
      </w:r>
    </w:p>
    <w:p>
      <w:pPr>
        <w:adjustRightInd w:val="0"/>
        <w:snapToGrid w:val="0"/>
        <w:spacing w:line="360" w:lineRule="auto"/>
        <w:ind w:right="105" w:rightChars="50"/>
        <w:jc w:val="left"/>
        <w:outlineLvl w:val="1"/>
        <w:rPr>
          <w:rFonts w:hint="default" w:ascii="宋体" w:hAnsi="宋体" w:eastAsia="宋体" w:cs="宋体"/>
          <w:b/>
          <w:bCs/>
          <w:color w:val="auto"/>
          <w:sz w:val="28"/>
          <w:szCs w:val="28"/>
          <w:highlight w:val="none"/>
          <w:lang w:val="en-US" w:eastAsia="zh-CN"/>
        </w:rPr>
      </w:pPr>
      <w:r>
        <w:rPr>
          <w:rFonts w:hint="eastAsia" w:ascii="宋体" w:hAnsi="宋体" w:eastAsia="宋体" w:cs="宋体"/>
          <w:color w:val="auto"/>
          <w:szCs w:val="21"/>
          <w:highlight w:val="none"/>
        </w:rPr>
        <w:br w:type="page"/>
      </w:r>
    </w:p>
    <w:p>
      <w:pPr>
        <w:adjustRightInd w:val="0"/>
        <w:snapToGrid w:val="0"/>
        <w:spacing w:line="360" w:lineRule="auto"/>
        <w:ind w:right="105" w:rightChars="50"/>
        <w:jc w:val="left"/>
        <w:outlineLvl w:val="1"/>
        <w:rPr>
          <w:rFonts w:hint="default" w:ascii="宋体" w:hAnsi="宋体" w:eastAsia="宋体" w:cs="宋体"/>
          <w:color w:val="auto"/>
          <w:sz w:val="28"/>
          <w:szCs w:val="28"/>
          <w:highlight w:val="none"/>
          <w:lang w:val="en-US" w:eastAsia="zh-CN"/>
        </w:rPr>
      </w:pPr>
      <w:bookmarkStart w:id="64" w:name="_Toc533340166"/>
      <w:bookmarkStart w:id="65" w:name="_Toc4485642"/>
      <w:r>
        <w:rPr>
          <w:rStyle w:val="50"/>
          <w:rFonts w:hint="eastAsia" w:ascii="宋体" w:hAnsi="宋体" w:eastAsia="宋体" w:cs="宋体"/>
          <w:color w:val="auto"/>
          <w:sz w:val="28"/>
          <w:szCs w:val="28"/>
          <w:highlight w:val="none"/>
        </w:rPr>
        <w:t>格式</w:t>
      </w:r>
      <w:bookmarkEnd w:id="64"/>
      <w:bookmarkEnd w:id="65"/>
      <w:r>
        <w:rPr>
          <w:rStyle w:val="50"/>
          <w:rFonts w:hint="eastAsia" w:ascii="宋体" w:hAnsi="宋体" w:cs="宋体"/>
          <w:color w:val="auto"/>
          <w:sz w:val="28"/>
          <w:szCs w:val="28"/>
          <w:highlight w:val="none"/>
          <w:lang w:val="en-US" w:eastAsia="zh-CN"/>
        </w:rPr>
        <w:t>15</w:t>
      </w:r>
    </w:p>
    <w:p>
      <w:pPr>
        <w:spacing w:before="319" w:beforeLines="100" w:after="319" w:afterLines="10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残疾人福利性单位声明函</w:t>
      </w:r>
    </w:p>
    <w:p>
      <w:pPr>
        <w:adjustRightInd w:val="0"/>
        <w:snapToGrid w:val="0"/>
        <w:spacing w:line="360" w:lineRule="auto"/>
        <w:ind w:right="105" w:rightChars="50" w:firstLine="476" w:firstLineChars="227"/>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单位的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pPr>
        <w:bidi w:val="0"/>
        <w:rPr>
          <w:rFonts w:hint="eastAsia"/>
          <w:color w:val="auto"/>
          <w:highlight w:val="none"/>
        </w:rPr>
      </w:pPr>
      <w:r>
        <w:rPr>
          <w:rFonts w:hint="eastAsia"/>
          <w:color w:val="auto"/>
          <w:highlight w:val="none"/>
        </w:rPr>
        <w:t>本单位对上述声明的真实性负责。如有虚假，将依法承担相应责任。</w:t>
      </w:r>
    </w:p>
    <w:p>
      <w:pPr>
        <w:spacing w:line="500" w:lineRule="exact"/>
        <w:jc w:val="left"/>
        <w:rPr>
          <w:rFonts w:hint="eastAsia" w:ascii="宋体" w:hAnsi="宋体" w:eastAsia="宋体" w:cs="宋体"/>
          <w:color w:val="auto"/>
          <w:sz w:val="30"/>
          <w:szCs w:val="30"/>
          <w:highlight w:val="none"/>
        </w:rPr>
      </w:pPr>
      <w:bookmarkStart w:id="66" w:name="_Toc247085882"/>
      <w:bookmarkStart w:id="67" w:name="_Toc296602609"/>
      <w:bookmarkStart w:id="68" w:name="_Toc152045796"/>
      <w:bookmarkStart w:id="69" w:name="_Toc179632816"/>
      <w:bookmarkStart w:id="70" w:name="_Toc246997107"/>
      <w:bookmarkStart w:id="71" w:name="_Toc144974864"/>
      <w:bookmarkStart w:id="72" w:name="_Toc246996364"/>
      <w:bookmarkStart w:id="73" w:name="_Toc152042585"/>
      <w:bookmarkStart w:id="74" w:name="_Toc4485643"/>
      <w:r>
        <w:rPr>
          <w:rFonts w:hint="eastAsia" w:ascii="宋体" w:hAnsi="宋体" w:eastAsia="宋体" w:cs="宋体"/>
          <w:b/>
          <w:color w:val="auto"/>
          <w:sz w:val="28"/>
          <w:szCs w:val="28"/>
          <w:highlight w:val="none"/>
        </w:rPr>
        <w:br w:type="page"/>
      </w:r>
      <w:bookmarkStart w:id="75" w:name="_Toc179632823"/>
      <w:bookmarkStart w:id="76" w:name="_Toc247085887"/>
      <w:bookmarkStart w:id="77" w:name="_Toc152045803"/>
      <w:bookmarkStart w:id="78" w:name="_Toc246997112"/>
      <w:bookmarkStart w:id="79" w:name="_Toc246996369"/>
      <w:bookmarkStart w:id="80" w:name="_Toc144974871"/>
      <w:bookmarkStart w:id="81" w:name="_Toc296602614"/>
      <w:bookmarkStart w:id="82" w:name="_Toc152042592"/>
      <w:r>
        <w:rPr>
          <w:rStyle w:val="50"/>
          <w:rFonts w:hint="eastAsia" w:ascii="宋体" w:hAnsi="宋体" w:eastAsia="宋体" w:cs="宋体"/>
          <w:color w:val="auto"/>
          <w:sz w:val="30"/>
          <w:szCs w:val="30"/>
          <w:highlight w:val="none"/>
        </w:rPr>
        <w:t>格式</w:t>
      </w:r>
      <w:r>
        <w:rPr>
          <w:rStyle w:val="50"/>
          <w:rFonts w:hint="eastAsia" w:ascii="宋体" w:hAnsi="宋体" w:cs="宋体"/>
          <w:color w:val="auto"/>
          <w:sz w:val="30"/>
          <w:szCs w:val="30"/>
          <w:highlight w:val="none"/>
          <w:lang w:val="en-US" w:eastAsia="zh-CN"/>
        </w:rPr>
        <w:t>16</w:t>
      </w:r>
      <w:r>
        <w:rPr>
          <w:rStyle w:val="50"/>
          <w:rFonts w:hint="eastAsia" w:ascii="宋体" w:hAnsi="宋体" w:eastAsia="宋体" w:cs="宋体"/>
          <w:color w:val="auto"/>
          <w:sz w:val="30"/>
          <w:szCs w:val="30"/>
          <w:highlight w:val="none"/>
          <w:lang w:val="en-US" w:eastAsia="zh-CN"/>
        </w:rPr>
        <w:t xml:space="preserve">  </w:t>
      </w:r>
      <w:r>
        <w:rPr>
          <w:rFonts w:hint="eastAsia" w:ascii="宋体" w:hAnsi="宋体" w:eastAsia="宋体" w:cs="宋体"/>
          <w:b/>
          <w:bCs/>
          <w:color w:val="auto"/>
          <w:sz w:val="30"/>
          <w:szCs w:val="30"/>
          <w:highlight w:val="none"/>
          <w:lang w:val="en-US" w:eastAsia="zh-CN"/>
        </w:rPr>
        <w:t xml:space="preserve"> </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项目管理机构</w:t>
      </w:r>
      <w:bookmarkEnd w:id="75"/>
      <w:bookmarkEnd w:id="76"/>
      <w:bookmarkEnd w:id="77"/>
      <w:bookmarkEnd w:id="78"/>
      <w:bookmarkEnd w:id="79"/>
      <w:bookmarkEnd w:id="80"/>
      <w:bookmarkEnd w:id="81"/>
      <w:bookmarkEnd w:id="82"/>
    </w:p>
    <w:p>
      <w:pPr>
        <w:spacing w:line="500" w:lineRule="exact"/>
        <w:jc w:val="center"/>
        <w:rPr>
          <w:rFonts w:hint="eastAsia" w:ascii="宋体" w:hAnsi="宋体" w:eastAsia="宋体" w:cs="宋体"/>
          <w:color w:val="auto"/>
          <w:sz w:val="24"/>
          <w:highlight w:val="none"/>
        </w:rPr>
      </w:pPr>
    </w:p>
    <w:p>
      <w:pPr>
        <w:pStyle w:val="8"/>
        <w:spacing w:line="500" w:lineRule="exact"/>
        <w:jc w:val="center"/>
        <w:rPr>
          <w:rFonts w:hint="eastAsia" w:ascii="宋体" w:hAnsi="宋体" w:eastAsia="宋体" w:cs="宋体"/>
          <w:color w:val="auto"/>
          <w:sz w:val="24"/>
          <w:szCs w:val="24"/>
          <w:highlight w:val="none"/>
        </w:rPr>
      </w:pPr>
      <w:bookmarkStart w:id="83" w:name="_Toc246996370"/>
      <w:bookmarkStart w:id="84" w:name="_Toc246997113"/>
      <w:bookmarkStart w:id="85" w:name="_Toc247085888"/>
      <w:bookmarkStart w:id="86" w:name="_Toc179632824"/>
      <w:bookmarkStart w:id="87" w:name="_Toc152045804"/>
      <w:bookmarkStart w:id="88" w:name="_Toc296602615"/>
      <w:bookmarkStart w:id="89" w:name="_Toc144974872"/>
      <w:bookmarkStart w:id="90" w:name="_Toc152042593"/>
      <w:r>
        <w:rPr>
          <w:rFonts w:hint="eastAsia" w:ascii="宋体" w:hAnsi="宋体" w:eastAsia="宋体" w:cs="宋体"/>
          <w:color w:val="auto"/>
          <w:sz w:val="24"/>
          <w:szCs w:val="24"/>
          <w:highlight w:val="none"/>
        </w:rPr>
        <w:t>（一）项目管理机构组成表</w:t>
      </w:r>
      <w:bookmarkEnd w:id="83"/>
      <w:bookmarkEnd w:id="84"/>
      <w:bookmarkEnd w:id="85"/>
      <w:bookmarkEnd w:id="86"/>
      <w:bookmarkEnd w:id="87"/>
      <w:bookmarkEnd w:id="88"/>
      <w:bookmarkEnd w:id="89"/>
      <w:bookmarkEnd w:id="90"/>
    </w:p>
    <w:p>
      <w:pPr>
        <w:spacing w:line="500" w:lineRule="exact"/>
        <w:jc w:val="center"/>
        <w:rPr>
          <w:rFonts w:hint="eastAsia" w:ascii="宋体" w:hAnsi="宋体" w:eastAsia="宋体" w:cs="宋体"/>
          <w:color w:val="auto"/>
          <w:sz w:val="24"/>
          <w:highlight w:val="none"/>
        </w:rPr>
      </w:pP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721"/>
        <w:gridCol w:w="719"/>
        <w:gridCol w:w="1081"/>
        <w:gridCol w:w="719"/>
        <w:gridCol w:w="721"/>
        <w:gridCol w:w="719"/>
        <w:gridCol w:w="252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647" w:type="dxa"/>
            <w:vMerge w:val="restart"/>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721" w:type="dxa"/>
            <w:vMerge w:val="restart"/>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19" w:type="dxa"/>
            <w:vMerge w:val="restart"/>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职称</w:t>
            </w:r>
          </w:p>
        </w:tc>
        <w:tc>
          <w:tcPr>
            <w:tcW w:w="5763" w:type="dxa"/>
            <w:gridSpan w:val="5"/>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执业或职业资格证明</w:t>
            </w:r>
          </w:p>
        </w:tc>
        <w:tc>
          <w:tcPr>
            <w:tcW w:w="672"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47"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vMerge w:val="continue"/>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证书名称</w:t>
            </w:r>
          </w:p>
        </w:tc>
        <w:tc>
          <w:tcPr>
            <w:tcW w:w="719"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级别</w:t>
            </w:r>
          </w:p>
        </w:tc>
        <w:tc>
          <w:tcPr>
            <w:tcW w:w="721"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证号</w:t>
            </w:r>
          </w:p>
        </w:tc>
        <w:tc>
          <w:tcPr>
            <w:tcW w:w="719"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专业</w:t>
            </w:r>
          </w:p>
        </w:tc>
        <w:tc>
          <w:tcPr>
            <w:tcW w:w="2523"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养老保险</w:t>
            </w:r>
          </w:p>
        </w:tc>
        <w:tc>
          <w:tcPr>
            <w:tcW w:w="672"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108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2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71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252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c>
          <w:tcPr>
            <w:tcW w:w="67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1"/>
                <w:szCs w:val="21"/>
                <w:highlight w:val="none"/>
              </w:rPr>
            </w:pPr>
          </w:p>
        </w:tc>
      </w:tr>
    </w:tbl>
    <w:p>
      <w:pPr>
        <w:topLinePunct/>
        <w:spacing w:line="500" w:lineRule="exact"/>
        <w:jc w:val="left"/>
        <w:rPr>
          <w:rFonts w:hint="eastAsia" w:ascii="宋体" w:hAnsi="宋体" w:eastAsia="宋体" w:cs="宋体"/>
          <w:color w:val="auto"/>
          <w:sz w:val="24"/>
          <w:highlight w:val="none"/>
          <w:lang w:eastAsia="zh-CN"/>
        </w:rPr>
      </w:pPr>
      <w:r>
        <w:rPr>
          <w:rFonts w:hint="eastAsia" w:ascii="宋体" w:hAnsi="宋体" w:cs="宋体"/>
          <w:color w:val="auto"/>
          <w:sz w:val="20"/>
          <w:highlight w:val="none"/>
          <w:lang w:eastAsia="zh-CN"/>
        </w:rPr>
        <w:t>附相关证明资料。</w:t>
      </w:r>
    </w:p>
    <w:p>
      <w:pPr>
        <w:topLinePunct/>
        <w:spacing w:line="440" w:lineRule="exact"/>
        <w:jc w:val="center"/>
        <w:rPr>
          <w:rFonts w:hint="eastAsia" w:ascii="宋体" w:hAnsi="宋体" w:eastAsia="宋体" w:cs="宋体"/>
          <w:color w:val="auto"/>
          <w:highlight w:val="none"/>
        </w:rPr>
      </w:pPr>
      <w:r>
        <w:rPr>
          <w:rFonts w:hint="eastAsia" w:ascii="宋体" w:hAnsi="宋体" w:eastAsia="宋体" w:cs="宋体"/>
          <w:color w:val="auto"/>
          <w:sz w:val="24"/>
          <w:highlight w:val="none"/>
        </w:rPr>
        <w:br w:type="page"/>
      </w:r>
      <w:bookmarkStart w:id="91" w:name="_Toc247085889"/>
      <w:bookmarkStart w:id="92" w:name="_Toc296602616"/>
      <w:bookmarkStart w:id="93" w:name="_Toc152042594"/>
      <w:bookmarkStart w:id="94" w:name="_Toc152045805"/>
      <w:bookmarkStart w:id="95" w:name="_Toc246997114"/>
      <w:bookmarkStart w:id="96" w:name="_Toc246996371"/>
      <w:bookmarkStart w:id="97" w:name="_Toc144974873"/>
      <w:bookmarkStart w:id="98" w:name="_Toc179632825"/>
      <w:bookmarkStart w:id="99" w:name="_Toc179632827"/>
      <w:bookmarkStart w:id="100" w:name="_Toc246997115"/>
      <w:bookmarkStart w:id="101" w:name="_Toc152042596"/>
      <w:bookmarkStart w:id="102" w:name="_Toc247085890"/>
      <w:bookmarkStart w:id="103" w:name="_Toc152045807"/>
      <w:bookmarkStart w:id="104" w:name="_Toc296602617"/>
      <w:bookmarkStart w:id="105" w:name="_Toc144974875"/>
      <w:bookmarkStart w:id="106" w:name="_Toc246996372"/>
      <w:r>
        <w:rPr>
          <w:rFonts w:hint="eastAsia" w:ascii="宋体" w:hAnsi="宋体" w:eastAsia="宋体" w:cs="宋体"/>
          <w:b/>
          <w:bCs/>
          <w:color w:val="auto"/>
          <w:sz w:val="24"/>
          <w:highlight w:val="none"/>
        </w:rPr>
        <w:t>（二）</w:t>
      </w:r>
      <w:r>
        <w:rPr>
          <w:rFonts w:hint="eastAsia" w:ascii="宋体" w:hAnsi="宋体" w:cs="宋体"/>
          <w:b/>
          <w:bCs/>
          <w:color w:val="auto"/>
          <w:sz w:val="24"/>
          <w:highlight w:val="none"/>
          <w:lang w:eastAsia="zh-CN"/>
        </w:rPr>
        <w:t>主要人员</w:t>
      </w:r>
      <w:r>
        <w:rPr>
          <w:rFonts w:hint="eastAsia" w:ascii="宋体" w:hAnsi="宋体" w:eastAsia="宋体" w:cs="宋体"/>
          <w:b/>
          <w:bCs/>
          <w:color w:val="auto"/>
          <w:sz w:val="24"/>
          <w:highlight w:val="none"/>
        </w:rPr>
        <w:t>简历表</w:t>
      </w:r>
      <w:bookmarkEnd w:id="91"/>
      <w:bookmarkEnd w:id="92"/>
      <w:bookmarkEnd w:id="93"/>
      <w:bookmarkEnd w:id="94"/>
      <w:bookmarkEnd w:id="95"/>
      <w:bookmarkEnd w:id="96"/>
      <w:bookmarkEnd w:id="97"/>
      <w:bookmarkEnd w:id="98"/>
    </w:p>
    <w:p>
      <w:pPr>
        <w:topLinePunct/>
        <w:spacing w:line="440" w:lineRule="exact"/>
        <w:jc w:val="center"/>
        <w:rPr>
          <w:rFonts w:hint="eastAsia" w:ascii="宋体" w:hAnsi="宋体" w:eastAsia="宋体" w:cs="宋体"/>
          <w:color w:val="auto"/>
          <w:sz w:val="23"/>
          <w:szCs w:val="23"/>
          <w:highlight w:val="none"/>
        </w:rPr>
      </w:pPr>
    </w:p>
    <w:tbl>
      <w:tblPr>
        <w:tblStyle w:val="4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359"/>
        <w:gridCol w:w="720"/>
        <w:gridCol w:w="927"/>
        <w:gridCol w:w="1065"/>
        <w:gridCol w:w="708"/>
        <w:gridCol w:w="1261"/>
        <w:gridCol w:w="161"/>
        <w:gridCol w:w="2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p>
        </w:tc>
        <w:tc>
          <w:tcPr>
            <w:tcW w:w="1079"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27"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 龄</w:t>
            </w:r>
          </w:p>
        </w:tc>
        <w:tc>
          <w:tcPr>
            <w:tcW w:w="1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2130" w:type="dxa"/>
            <w:gridSpan w:val="3"/>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2135" w:type="dxa"/>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称</w:t>
            </w:r>
          </w:p>
        </w:tc>
        <w:tc>
          <w:tcPr>
            <w:tcW w:w="1079"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927"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p>
        </w:tc>
        <w:tc>
          <w:tcPr>
            <w:tcW w:w="1065" w:type="dxa"/>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p>
        </w:tc>
        <w:tc>
          <w:tcPr>
            <w:tcW w:w="2130" w:type="dxa"/>
            <w:gridSpan w:val="3"/>
            <w:noWrap w:val="0"/>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拟在本合同任职</w:t>
            </w:r>
          </w:p>
        </w:tc>
        <w:tc>
          <w:tcPr>
            <w:tcW w:w="2135" w:type="dxa"/>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6" w:type="dxa"/>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毕业学校</w:t>
            </w:r>
          </w:p>
        </w:tc>
        <w:tc>
          <w:tcPr>
            <w:tcW w:w="7336" w:type="dxa"/>
            <w:gridSpan w:val="8"/>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9"/>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545" w:type="dxa"/>
            <w:gridSpan w:val="2"/>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  间</w:t>
            </w:r>
          </w:p>
        </w:tc>
        <w:tc>
          <w:tcPr>
            <w:tcW w:w="3420" w:type="dxa"/>
            <w:gridSpan w:val="4"/>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参加过的类似项目</w:t>
            </w:r>
          </w:p>
        </w:tc>
        <w:tc>
          <w:tcPr>
            <w:tcW w:w="1261" w:type="dxa"/>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担任职务</w:t>
            </w:r>
          </w:p>
        </w:tc>
        <w:tc>
          <w:tcPr>
            <w:tcW w:w="2296" w:type="dxa"/>
            <w:gridSpan w:val="2"/>
            <w:noWrap w:val="0"/>
            <w:vAlign w:val="center"/>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45"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3420" w:type="dxa"/>
            <w:gridSpan w:val="4"/>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1261" w:type="dxa"/>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c>
          <w:tcPr>
            <w:tcW w:w="2296" w:type="dxa"/>
            <w:gridSpan w:val="2"/>
            <w:noWrap w:val="0"/>
            <w:vAlign w:val="top"/>
          </w:tcPr>
          <w:p>
            <w:pPr>
              <w:keepNext w:val="0"/>
              <w:keepLines w:val="0"/>
              <w:suppressLineNumbers w:val="0"/>
              <w:spacing w:before="0" w:beforeAutospacing="0" w:after="0" w:afterAutospacing="0" w:line="440" w:lineRule="exact"/>
              <w:ind w:left="0" w:right="0"/>
              <w:rPr>
                <w:rFonts w:hint="eastAsia" w:ascii="宋体" w:hAnsi="宋体" w:eastAsia="宋体" w:cs="宋体"/>
                <w:color w:val="auto"/>
                <w:szCs w:val="21"/>
                <w:highlight w:val="none"/>
              </w:rPr>
            </w:pPr>
          </w:p>
        </w:tc>
      </w:tr>
    </w:tbl>
    <w:p>
      <w:pPr>
        <w:topLinePunct/>
        <w:spacing w:line="500" w:lineRule="exact"/>
        <w:jc w:val="left"/>
        <w:rPr>
          <w:rFonts w:hint="eastAsia" w:ascii="宋体" w:hAnsi="宋体" w:eastAsia="宋体" w:cs="宋体"/>
          <w:b/>
          <w:bCs/>
          <w:color w:val="auto"/>
          <w:sz w:val="24"/>
          <w:highlight w:val="none"/>
        </w:rPr>
      </w:pPr>
      <w:r>
        <w:rPr>
          <w:rFonts w:hint="eastAsia" w:ascii="宋体" w:hAnsi="宋体" w:eastAsia="宋体" w:cs="宋体"/>
          <w:color w:val="auto"/>
          <w:highlight w:val="none"/>
        </w:rPr>
        <w:t>应附项目负责人身份证、职称证、学历证、</w:t>
      </w:r>
      <w:r>
        <w:rPr>
          <w:rFonts w:hint="eastAsia" w:ascii="宋体" w:hAnsi="宋体" w:cs="宋体"/>
          <w:color w:val="auto"/>
          <w:highlight w:val="none"/>
          <w:lang w:val="en-US" w:eastAsia="zh-CN"/>
        </w:rPr>
        <w:t>注册证、安全证、</w:t>
      </w:r>
      <w:r>
        <w:rPr>
          <w:rFonts w:hint="eastAsia" w:ascii="宋体" w:hAnsi="宋体" w:eastAsia="宋体" w:cs="宋体"/>
          <w:color w:val="auto"/>
          <w:highlight w:val="none"/>
        </w:rPr>
        <w:t>养老保险</w:t>
      </w:r>
      <w:r>
        <w:rPr>
          <w:rFonts w:hint="eastAsia" w:ascii="宋体" w:hAnsi="宋体" w:cs="宋体"/>
          <w:color w:val="auto"/>
          <w:highlight w:val="none"/>
          <w:lang w:val="en-US" w:eastAsia="zh-CN"/>
        </w:rPr>
        <w:t>等</w:t>
      </w:r>
      <w:r>
        <w:rPr>
          <w:rFonts w:hint="eastAsia" w:ascii="宋体" w:hAnsi="宋体" w:eastAsia="宋体" w:cs="宋体"/>
          <w:color w:val="auto"/>
          <w:highlight w:val="none"/>
        </w:rPr>
        <w:t>。</w:t>
      </w:r>
    </w:p>
    <w:p>
      <w:pPr>
        <w:topLinePunct/>
        <w:spacing w:line="500" w:lineRule="exact"/>
        <w:rPr>
          <w:rFonts w:hint="eastAsia" w:ascii="宋体" w:hAnsi="宋体" w:eastAsia="宋体" w:cs="宋体"/>
          <w:b/>
          <w:bCs/>
          <w:color w:val="auto"/>
          <w:sz w:val="24"/>
          <w:highlight w:val="none"/>
        </w:rPr>
      </w:pPr>
    </w:p>
    <w:p>
      <w:pPr>
        <w:topLinePunct/>
        <w:spacing w:line="500" w:lineRule="exact"/>
        <w:rPr>
          <w:rFonts w:hint="eastAsia" w:ascii="宋体" w:hAnsi="宋体" w:eastAsia="宋体" w:cs="宋体"/>
          <w:b/>
          <w:bCs/>
          <w:color w:val="auto"/>
          <w:sz w:val="24"/>
          <w:highlight w:val="none"/>
        </w:rPr>
      </w:pPr>
    </w:p>
    <w:p>
      <w:pPr>
        <w:topLinePunct/>
        <w:spacing w:line="500" w:lineRule="exact"/>
        <w:rPr>
          <w:rFonts w:hint="eastAsia" w:ascii="宋体" w:hAnsi="宋体" w:eastAsia="宋体" w:cs="宋体"/>
          <w:b/>
          <w:bCs/>
          <w:color w:val="auto"/>
          <w:sz w:val="24"/>
          <w:highlight w:val="none"/>
        </w:rPr>
      </w:pPr>
    </w:p>
    <w:p>
      <w:pPr>
        <w:topLinePunct/>
        <w:spacing w:line="500" w:lineRule="exact"/>
        <w:jc w:val="left"/>
        <w:rPr>
          <w:rFonts w:hint="eastAsia" w:ascii="宋体" w:hAnsi="宋体" w:eastAsia="宋体" w:cs="宋体"/>
          <w:color w:val="auto"/>
          <w:sz w:val="30"/>
          <w:szCs w:val="30"/>
          <w:highlight w:val="none"/>
          <w:lang w:eastAsia="zh-CN"/>
        </w:rPr>
      </w:pPr>
      <w:r>
        <w:rPr>
          <w:rFonts w:hint="eastAsia" w:ascii="宋体" w:hAnsi="宋体" w:eastAsia="宋体" w:cs="宋体"/>
          <w:b/>
          <w:bCs/>
          <w:color w:val="auto"/>
          <w:sz w:val="28"/>
          <w:szCs w:val="28"/>
          <w:highlight w:val="none"/>
        </w:rPr>
        <w:t>格式</w:t>
      </w:r>
      <w:bookmarkEnd w:id="99"/>
      <w:bookmarkEnd w:id="100"/>
      <w:bookmarkEnd w:id="101"/>
      <w:bookmarkEnd w:id="102"/>
      <w:bookmarkEnd w:id="103"/>
      <w:bookmarkEnd w:id="104"/>
      <w:bookmarkEnd w:id="105"/>
      <w:bookmarkEnd w:id="106"/>
      <w:r>
        <w:rPr>
          <w:rFonts w:hint="eastAsia" w:ascii="宋体" w:hAnsi="宋体" w:cs="宋体"/>
          <w:b/>
          <w:bCs/>
          <w:color w:val="auto"/>
          <w:sz w:val="28"/>
          <w:szCs w:val="28"/>
          <w:highlight w:val="none"/>
          <w:lang w:val="en-US" w:eastAsia="zh-CN"/>
        </w:rPr>
        <w:t>17</w:t>
      </w:r>
      <w:r>
        <w:rPr>
          <w:rFonts w:hint="eastAsia" w:ascii="宋体" w:hAnsi="宋体" w:eastAsia="宋体" w:cs="宋体"/>
          <w:b/>
          <w:bCs/>
          <w:color w:val="auto"/>
          <w:sz w:val="28"/>
          <w:szCs w:val="28"/>
          <w:highlight w:val="none"/>
          <w:lang w:val="en-US" w:eastAsia="zh-CN"/>
        </w:rPr>
        <w:t xml:space="preserve">                 </w:t>
      </w:r>
    </w:p>
    <w:p>
      <w:pPr>
        <w:numPr>
          <w:ilvl w:val="0"/>
          <w:numId w:val="0"/>
        </w:numPr>
        <w:spacing w:line="500" w:lineRule="exact"/>
        <w:jc w:val="center"/>
        <w:rPr>
          <w:rFonts w:hint="eastAsia" w:ascii="宋体" w:hAnsi="宋体" w:eastAsia="宋体" w:cs="宋体"/>
          <w:color w:val="auto"/>
          <w:sz w:val="24"/>
          <w:highlight w:val="none"/>
          <w:lang w:eastAsia="zh-CN"/>
        </w:rPr>
      </w:pPr>
      <w:r>
        <w:rPr>
          <w:rFonts w:hint="eastAsia" w:ascii="宋体" w:hAnsi="宋体" w:eastAsia="宋体" w:cs="宋体"/>
          <w:b/>
          <w:bCs/>
          <w:color w:val="auto"/>
          <w:sz w:val="30"/>
          <w:szCs w:val="30"/>
          <w:highlight w:val="none"/>
        </w:rPr>
        <w:t>近年完成</w:t>
      </w:r>
      <w:r>
        <w:rPr>
          <w:rFonts w:hint="eastAsia" w:ascii="宋体" w:hAnsi="宋体" w:cs="宋体"/>
          <w:b/>
          <w:bCs/>
          <w:color w:val="auto"/>
          <w:sz w:val="30"/>
          <w:szCs w:val="30"/>
          <w:highlight w:val="none"/>
          <w:lang w:eastAsia="zh-CN"/>
        </w:rPr>
        <w:t>的</w:t>
      </w:r>
      <w:r>
        <w:rPr>
          <w:rFonts w:hint="eastAsia" w:ascii="宋体" w:hAnsi="宋体" w:eastAsia="宋体" w:cs="宋体"/>
          <w:b/>
          <w:bCs/>
          <w:color w:val="auto"/>
          <w:sz w:val="30"/>
          <w:szCs w:val="30"/>
          <w:highlight w:val="none"/>
        </w:rPr>
        <w:t>类似</w:t>
      </w:r>
      <w:r>
        <w:rPr>
          <w:rFonts w:hint="eastAsia" w:ascii="宋体" w:hAnsi="宋体" w:cs="宋体"/>
          <w:b/>
          <w:bCs/>
          <w:color w:val="auto"/>
          <w:sz w:val="30"/>
          <w:szCs w:val="30"/>
          <w:highlight w:val="none"/>
          <w:lang w:eastAsia="zh-CN"/>
        </w:rPr>
        <w:t>项目情况表</w:t>
      </w:r>
    </w:p>
    <w:p>
      <w:pPr>
        <w:spacing w:line="500" w:lineRule="exact"/>
        <w:jc w:val="center"/>
        <w:rPr>
          <w:rFonts w:hint="eastAsia" w:ascii="宋体" w:hAnsi="宋体" w:eastAsia="宋体" w:cs="宋体"/>
          <w:color w:val="auto"/>
          <w:sz w:val="24"/>
          <w:highlight w:val="none"/>
        </w:rPr>
      </w:pP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noWrap w:val="0"/>
            <w:vAlign w:val="center"/>
          </w:tcPr>
          <w:p>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c>
          <w:tcPr>
            <w:tcW w:w="6253" w:type="dxa"/>
            <w:noWrap w:val="0"/>
            <w:vAlign w:val="top"/>
          </w:tcPr>
          <w:p>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noWrap w:val="0"/>
            <w:vAlign w:val="center"/>
          </w:tcPr>
          <w:p>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项目所在地</w:t>
            </w:r>
          </w:p>
        </w:tc>
        <w:tc>
          <w:tcPr>
            <w:tcW w:w="6253" w:type="dxa"/>
            <w:noWrap w:val="0"/>
            <w:vAlign w:val="top"/>
          </w:tcPr>
          <w:p>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noWrap w:val="0"/>
            <w:vAlign w:val="center"/>
          </w:tcPr>
          <w:p>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发包人名称</w:t>
            </w:r>
          </w:p>
        </w:tc>
        <w:tc>
          <w:tcPr>
            <w:tcW w:w="6253" w:type="dxa"/>
            <w:noWrap w:val="0"/>
            <w:vAlign w:val="top"/>
          </w:tcPr>
          <w:p>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noWrap w:val="0"/>
            <w:vAlign w:val="center"/>
          </w:tcPr>
          <w:p>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发包人地址</w:t>
            </w:r>
          </w:p>
        </w:tc>
        <w:tc>
          <w:tcPr>
            <w:tcW w:w="6253" w:type="dxa"/>
            <w:noWrap w:val="0"/>
            <w:vAlign w:val="top"/>
          </w:tcPr>
          <w:p>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noWrap w:val="0"/>
            <w:vAlign w:val="center"/>
          </w:tcPr>
          <w:p>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发包人电话</w:t>
            </w:r>
          </w:p>
        </w:tc>
        <w:tc>
          <w:tcPr>
            <w:tcW w:w="6253" w:type="dxa"/>
            <w:noWrap w:val="0"/>
            <w:vAlign w:val="top"/>
          </w:tcPr>
          <w:p>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noWrap w:val="0"/>
            <w:vAlign w:val="center"/>
          </w:tcPr>
          <w:p>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合同价格</w:t>
            </w:r>
          </w:p>
        </w:tc>
        <w:tc>
          <w:tcPr>
            <w:tcW w:w="6253" w:type="dxa"/>
            <w:noWrap w:val="0"/>
            <w:vAlign w:val="top"/>
          </w:tcPr>
          <w:p>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开工日期</w:t>
            </w:r>
          </w:p>
        </w:tc>
        <w:tc>
          <w:tcPr>
            <w:tcW w:w="6253" w:type="dxa"/>
            <w:noWrap w:val="0"/>
            <w:vAlign w:val="top"/>
          </w:tcPr>
          <w:p>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noWrap w:val="0"/>
            <w:vAlign w:val="center"/>
          </w:tcPr>
          <w:p>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竣工日期</w:t>
            </w:r>
          </w:p>
        </w:tc>
        <w:tc>
          <w:tcPr>
            <w:tcW w:w="6253" w:type="dxa"/>
            <w:noWrap w:val="0"/>
            <w:vAlign w:val="top"/>
          </w:tcPr>
          <w:p>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noWrap w:val="0"/>
            <w:vAlign w:val="center"/>
          </w:tcPr>
          <w:p>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承担的工作</w:t>
            </w:r>
          </w:p>
        </w:tc>
        <w:tc>
          <w:tcPr>
            <w:tcW w:w="6253" w:type="dxa"/>
            <w:noWrap w:val="0"/>
            <w:vAlign w:val="top"/>
          </w:tcPr>
          <w:p>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noWrap w:val="0"/>
            <w:vAlign w:val="center"/>
          </w:tcPr>
          <w:p>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工程质量</w:t>
            </w:r>
          </w:p>
        </w:tc>
        <w:tc>
          <w:tcPr>
            <w:tcW w:w="6253" w:type="dxa"/>
            <w:noWrap w:val="0"/>
            <w:vAlign w:val="top"/>
          </w:tcPr>
          <w:p>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noWrap w:val="0"/>
            <w:vAlign w:val="center"/>
          </w:tcPr>
          <w:p>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项目经理</w:t>
            </w:r>
          </w:p>
        </w:tc>
        <w:tc>
          <w:tcPr>
            <w:tcW w:w="6253" w:type="dxa"/>
            <w:noWrap w:val="0"/>
            <w:vAlign w:val="top"/>
          </w:tcPr>
          <w:p>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noWrap w:val="0"/>
            <w:vAlign w:val="center"/>
          </w:tcPr>
          <w:p>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技术负责人</w:t>
            </w:r>
          </w:p>
        </w:tc>
        <w:tc>
          <w:tcPr>
            <w:tcW w:w="6253" w:type="dxa"/>
            <w:noWrap w:val="0"/>
            <w:vAlign w:val="top"/>
          </w:tcPr>
          <w:p>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项目描述</w:t>
            </w:r>
          </w:p>
        </w:tc>
        <w:tc>
          <w:tcPr>
            <w:tcW w:w="6253" w:type="dxa"/>
            <w:noWrap w:val="0"/>
            <w:vAlign w:val="top"/>
          </w:tcPr>
          <w:p>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p>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p>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p>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p>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p>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p>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noWrap w:val="0"/>
            <w:vAlign w:val="center"/>
          </w:tcPr>
          <w:p>
            <w:pPr>
              <w:keepNext w:val="0"/>
              <w:keepLines w:val="0"/>
              <w:suppressLineNumbers w:val="0"/>
              <w:topLinePunct/>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c>
          <w:tcPr>
            <w:tcW w:w="6253" w:type="dxa"/>
            <w:noWrap w:val="0"/>
            <w:vAlign w:val="top"/>
          </w:tcPr>
          <w:p>
            <w:pPr>
              <w:keepNext w:val="0"/>
              <w:keepLines w:val="0"/>
              <w:suppressLineNumbers w:val="0"/>
              <w:topLinePunct/>
              <w:spacing w:before="0" w:beforeAutospacing="0" w:after="0" w:afterAutospacing="0" w:line="500" w:lineRule="exact"/>
              <w:ind w:left="0" w:right="0"/>
              <w:rPr>
                <w:rFonts w:hint="eastAsia" w:ascii="宋体" w:hAnsi="宋体" w:eastAsia="宋体" w:cs="宋体"/>
                <w:color w:val="auto"/>
                <w:sz w:val="24"/>
                <w:highlight w:val="none"/>
              </w:rPr>
            </w:pPr>
          </w:p>
        </w:tc>
      </w:tr>
    </w:tbl>
    <w:p>
      <w:pPr>
        <w:spacing w:afterLines="50" w:line="320" w:lineRule="exac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后附合同协议书</w:t>
      </w:r>
      <w:r>
        <w:rPr>
          <w:rFonts w:hint="eastAsia" w:ascii="宋体" w:hAnsi="宋体" w:cs="宋体"/>
          <w:color w:val="auto"/>
          <w:sz w:val="24"/>
          <w:highlight w:val="none"/>
          <w:lang w:eastAsia="zh-CN"/>
        </w:rPr>
        <w:t>或</w:t>
      </w:r>
      <w:r>
        <w:rPr>
          <w:rFonts w:hint="eastAsia" w:ascii="宋体" w:hAnsi="宋体" w:eastAsia="宋体" w:cs="宋体"/>
          <w:color w:val="auto"/>
          <w:sz w:val="24"/>
          <w:highlight w:val="none"/>
          <w:lang w:eastAsia="zh-CN"/>
        </w:rPr>
        <w:t>中标通知书复印件</w:t>
      </w:r>
    </w:p>
    <w:p>
      <w:pPr>
        <w:pStyle w:val="76"/>
        <w:ind w:left="0" w:leftChars="0" w:firstLine="0" w:firstLineChars="0"/>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color w:val="auto"/>
          <w:sz w:val="24"/>
          <w:highlight w:val="none"/>
          <w:lang w:val="en-US" w:eastAsia="zh-CN"/>
        </w:rPr>
        <w:t xml:space="preserve">                                                                          </w:t>
      </w:r>
      <w:r>
        <w:rPr>
          <w:rStyle w:val="50"/>
          <w:rFonts w:hint="eastAsia" w:ascii="宋体" w:hAnsi="宋体" w:eastAsia="宋体" w:cs="宋体"/>
          <w:color w:val="auto"/>
          <w:sz w:val="28"/>
          <w:szCs w:val="28"/>
          <w:highlight w:val="none"/>
          <w:lang w:val="en-US" w:eastAsia="zh-CN"/>
        </w:rPr>
        <w:t>格式</w:t>
      </w:r>
      <w:r>
        <w:rPr>
          <w:rStyle w:val="50"/>
          <w:rFonts w:hint="eastAsia" w:ascii="宋体" w:hAnsi="宋体" w:cs="宋体"/>
          <w:color w:val="auto"/>
          <w:sz w:val="28"/>
          <w:szCs w:val="28"/>
          <w:highlight w:val="none"/>
          <w:lang w:val="en-US" w:eastAsia="zh-CN"/>
        </w:rPr>
        <w:t>18</w:t>
      </w:r>
      <w:r>
        <w:rPr>
          <w:rStyle w:val="50"/>
          <w:rFonts w:hint="eastAsia"/>
          <w:color w:val="auto"/>
          <w:highlight w:val="none"/>
          <w:lang w:val="en-US" w:eastAsia="zh-CN"/>
        </w:rPr>
        <w:t xml:space="preserve"> </w:t>
      </w:r>
      <w:r>
        <w:rPr>
          <w:rFonts w:hint="eastAsia" w:ascii="宋体" w:hAnsi="宋体" w:eastAsia="宋体" w:cs="宋体"/>
          <w:b/>
          <w:bCs/>
          <w:color w:val="auto"/>
          <w:kern w:val="2"/>
          <w:sz w:val="28"/>
          <w:szCs w:val="28"/>
          <w:highlight w:val="none"/>
          <w:lang w:val="en-US" w:eastAsia="zh-CN" w:bidi="ar-SA"/>
        </w:rPr>
        <w:t xml:space="preserve">    </w:t>
      </w:r>
    </w:p>
    <w:p>
      <w:pPr>
        <w:spacing w:line="500" w:lineRule="exact"/>
        <w:ind w:firstLine="3092" w:firstLineChars="1100"/>
        <w:jc w:val="left"/>
        <w:rPr>
          <w:rFonts w:hint="eastAsia" w:ascii="宋体" w:hAnsi="宋体" w:eastAsia="宋体" w:cs="宋体"/>
          <w:color w:val="auto"/>
          <w:sz w:val="24"/>
          <w:highlight w:val="none"/>
          <w:lang w:eastAsia="zh-CN"/>
        </w:rPr>
      </w:pP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30"/>
          <w:szCs w:val="30"/>
          <w:highlight w:val="none"/>
        </w:rPr>
        <w:t>施工组织</w:t>
      </w:r>
      <w:bookmarkEnd w:id="66"/>
      <w:bookmarkEnd w:id="67"/>
      <w:bookmarkEnd w:id="68"/>
      <w:bookmarkEnd w:id="69"/>
      <w:bookmarkEnd w:id="70"/>
      <w:bookmarkEnd w:id="71"/>
      <w:bookmarkEnd w:id="72"/>
      <w:bookmarkEnd w:id="73"/>
      <w:r>
        <w:rPr>
          <w:rFonts w:hint="eastAsia" w:ascii="宋体" w:hAnsi="宋体" w:eastAsia="宋体" w:cs="宋体"/>
          <w:b/>
          <w:bCs/>
          <w:color w:val="auto"/>
          <w:sz w:val="30"/>
          <w:szCs w:val="30"/>
          <w:highlight w:val="none"/>
          <w:lang w:eastAsia="zh-CN"/>
        </w:rPr>
        <w:t>方案</w:t>
      </w:r>
    </w:p>
    <w:p>
      <w:pPr>
        <w:spacing w:line="500" w:lineRule="exact"/>
        <w:rPr>
          <w:rFonts w:hint="eastAsia" w:ascii="宋体" w:hAnsi="宋体" w:eastAsia="宋体" w:cs="宋体"/>
          <w:color w:val="auto"/>
          <w:sz w:val="24"/>
          <w:highlight w:val="none"/>
        </w:rPr>
      </w:pPr>
    </w:p>
    <w:p>
      <w:pPr>
        <w:tabs>
          <w:tab w:val="left" w:pos="720"/>
        </w:tabs>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编制施工组织设计的要求：编制时应简明扼要地说明施工方案</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技术措施、质量管理体系与措施、安全管理体系与措施、环保管理体系与措施、施工现场布置、劳动力安排计划、材料供应计划</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设备进场计划</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承诺</w:t>
      </w:r>
      <w:r>
        <w:rPr>
          <w:rFonts w:hint="eastAsia" w:ascii="宋体" w:hAnsi="宋体" w:eastAsia="宋体" w:cs="宋体"/>
          <w:color w:val="auto"/>
          <w:sz w:val="24"/>
          <w:highlight w:val="none"/>
          <w:lang w:eastAsia="zh-CN"/>
        </w:rPr>
        <w:t>等</w:t>
      </w:r>
      <w:r>
        <w:rPr>
          <w:rFonts w:hint="eastAsia" w:ascii="宋体" w:hAnsi="宋体" w:eastAsia="宋体" w:cs="宋体"/>
          <w:color w:val="auto"/>
          <w:sz w:val="24"/>
          <w:highlight w:val="none"/>
        </w:rPr>
        <w:t>。用图表形式阐明本项目的施工总平面、进度计划以及拟投入主要施工设备、劳动力、项目管理机构等。</w:t>
      </w:r>
    </w:p>
    <w:p>
      <w:pPr>
        <w:tabs>
          <w:tab w:val="left" w:pos="720"/>
        </w:tabs>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图表及格式要求：</w:t>
      </w:r>
    </w:p>
    <w:p>
      <w:pPr>
        <w:tabs>
          <w:tab w:val="left" w:pos="720"/>
        </w:tabs>
        <w:spacing w:line="500" w:lineRule="exact"/>
        <w:ind w:firstLine="864" w:firstLineChars="36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附表一  拟投入的主要施工设备表</w:t>
      </w:r>
    </w:p>
    <w:p>
      <w:pPr>
        <w:tabs>
          <w:tab w:val="left" w:pos="720"/>
        </w:tabs>
        <w:spacing w:line="500" w:lineRule="exact"/>
        <w:ind w:firstLine="864" w:firstLineChars="36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附表二  劳动力计划表</w:t>
      </w:r>
    </w:p>
    <w:p>
      <w:pPr>
        <w:tabs>
          <w:tab w:val="left" w:pos="720"/>
        </w:tabs>
        <w:spacing w:line="500" w:lineRule="exact"/>
        <w:ind w:firstLine="864" w:firstLineChars="36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附表三  进度计划</w:t>
      </w:r>
    </w:p>
    <w:p>
      <w:pPr>
        <w:tabs>
          <w:tab w:val="left" w:pos="720"/>
        </w:tabs>
        <w:spacing w:line="500" w:lineRule="exact"/>
        <w:ind w:firstLine="864" w:firstLineChars="360"/>
        <w:rPr>
          <w:rFonts w:hint="eastAsia" w:ascii="宋体" w:hAnsi="宋体" w:eastAsia="宋体" w:cs="宋体"/>
          <w:color w:val="auto"/>
          <w:sz w:val="24"/>
          <w:highlight w:val="none"/>
        </w:rPr>
      </w:pPr>
      <w:r>
        <w:rPr>
          <w:rFonts w:hint="eastAsia" w:ascii="宋体" w:hAnsi="宋体" w:eastAsia="宋体" w:cs="宋体"/>
          <w:color w:val="auto"/>
          <w:sz w:val="24"/>
          <w:highlight w:val="none"/>
        </w:rPr>
        <w:t>附表四  施工总平面图</w:t>
      </w: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07" w:name="_Toc144974865"/>
      <w:bookmarkStart w:id="108" w:name="_Toc296602610"/>
      <w:bookmarkStart w:id="109" w:name="_Toc152042586"/>
      <w:bookmarkStart w:id="110" w:name="_Toc246996365"/>
      <w:bookmarkStart w:id="111" w:name="_Toc152045797"/>
      <w:bookmarkStart w:id="112" w:name="_Toc246997108"/>
      <w:bookmarkStart w:id="113" w:name="_Toc247085883"/>
      <w:bookmarkStart w:id="114" w:name="_Toc179632817"/>
      <w:r>
        <w:rPr>
          <w:rFonts w:hint="eastAsia" w:ascii="宋体" w:hAnsi="宋体" w:eastAsia="宋体" w:cs="宋体"/>
          <w:b/>
          <w:bCs/>
          <w:color w:val="auto"/>
          <w:sz w:val="30"/>
          <w:szCs w:val="30"/>
          <w:highlight w:val="none"/>
        </w:rPr>
        <w:t>附表一：拟投入的主要施工设备表</w:t>
      </w:r>
      <w:bookmarkEnd w:id="107"/>
      <w:bookmarkEnd w:id="108"/>
      <w:bookmarkEnd w:id="109"/>
      <w:bookmarkEnd w:id="110"/>
      <w:bookmarkEnd w:id="111"/>
      <w:bookmarkEnd w:id="112"/>
      <w:bookmarkEnd w:id="113"/>
      <w:bookmarkEnd w:id="114"/>
    </w:p>
    <w:tbl>
      <w:tblPr>
        <w:tblStyle w:val="40"/>
        <w:tblW w:w="87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keepNext w:val="0"/>
              <w:keepLines w:val="0"/>
              <w:suppressLineNumbers w:val="0"/>
              <w:spacing w:before="0" w:beforeAutospacing="0" w:after="0" w:afterAutospacing="0" w:line="50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086"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设备名称</w:t>
            </w:r>
          </w:p>
        </w:tc>
        <w:tc>
          <w:tcPr>
            <w:tcW w:w="761"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w:t>
            </w:r>
          </w:p>
        </w:tc>
        <w:tc>
          <w:tcPr>
            <w:tcW w:w="9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672"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国别</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产地</w:t>
            </w:r>
          </w:p>
        </w:tc>
        <w:tc>
          <w:tcPr>
            <w:tcW w:w="73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制造</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年份</w:t>
            </w:r>
          </w:p>
        </w:tc>
        <w:tc>
          <w:tcPr>
            <w:tcW w:w="1212"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额定功率（kW）</w:t>
            </w:r>
          </w:p>
        </w:tc>
        <w:tc>
          <w:tcPr>
            <w:tcW w:w="874"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生产</w:t>
            </w:r>
          </w:p>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能力</w:t>
            </w:r>
          </w:p>
        </w:tc>
        <w:tc>
          <w:tcPr>
            <w:tcW w:w="1055"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用于施工部位</w:t>
            </w:r>
          </w:p>
        </w:tc>
        <w:tc>
          <w:tcPr>
            <w:tcW w:w="691"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86"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6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990"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7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738"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212"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87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5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691"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bl>
    <w:p>
      <w:pPr>
        <w:spacing w:line="500" w:lineRule="exact"/>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115" w:name="_Toc144974867"/>
      <w:bookmarkStart w:id="116" w:name="_Toc179632819"/>
      <w:bookmarkStart w:id="117" w:name="_Toc246997109"/>
      <w:bookmarkStart w:id="118" w:name="_Toc152045799"/>
      <w:bookmarkStart w:id="119" w:name="_Toc296602611"/>
      <w:bookmarkStart w:id="120" w:name="_Toc246996366"/>
      <w:bookmarkStart w:id="121" w:name="_Toc247085884"/>
      <w:bookmarkStart w:id="122" w:name="_Toc152042588"/>
      <w:r>
        <w:rPr>
          <w:rFonts w:hint="eastAsia" w:ascii="宋体" w:hAnsi="宋体" w:eastAsia="宋体" w:cs="宋体"/>
          <w:b/>
          <w:bCs/>
          <w:color w:val="auto"/>
          <w:sz w:val="30"/>
          <w:szCs w:val="30"/>
          <w:highlight w:val="none"/>
        </w:rPr>
        <w:t>附表二：劳动力计划表</w:t>
      </w:r>
      <w:bookmarkEnd w:id="115"/>
      <w:bookmarkEnd w:id="116"/>
      <w:bookmarkEnd w:id="117"/>
      <w:bookmarkEnd w:id="118"/>
      <w:bookmarkEnd w:id="119"/>
      <w:bookmarkEnd w:id="120"/>
      <w:bookmarkEnd w:id="121"/>
      <w:bookmarkEnd w:id="122"/>
    </w:p>
    <w:p>
      <w:pPr>
        <w:spacing w:line="500" w:lineRule="exact"/>
        <w:ind w:right="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单位：人</w:t>
      </w:r>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工种</w:t>
            </w:r>
          </w:p>
        </w:tc>
        <w:tc>
          <w:tcPr>
            <w:tcW w:w="7693" w:type="dxa"/>
            <w:gridSpan w:val="7"/>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center"/>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30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top"/>
          </w:tcPr>
          <w:p>
            <w:pPr>
              <w:keepNext w:val="0"/>
              <w:keepLines w:val="0"/>
              <w:suppressLineNumbers w:val="0"/>
              <w:spacing w:before="0" w:beforeAutospacing="0" w:after="0" w:afterAutospacing="0" w:line="500" w:lineRule="exact"/>
              <w:ind w:left="0" w:right="0"/>
              <w:rPr>
                <w:rFonts w:hint="eastAsia" w:ascii="宋体" w:hAnsi="宋体" w:eastAsia="宋体" w:cs="宋体"/>
                <w:color w:val="auto"/>
                <w:sz w:val="24"/>
                <w:highlight w:val="none"/>
              </w:rPr>
            </w:pPr>
          </w:p>
        </w:tc>
        <w:tc>
          <w:tcPr>
            <w:tcW w:w="130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5"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c>
          <w:tcPr>
            <w:tcW w:w="1064" w:type="dxa"/>
            <w:noWrap w:val="0"/>
            <w:vAlign w:val="top"/>
          </w:tcPr>
          <w:p>
            <w:pPr>
              <w:keepNext w:val="0"/>
              <w:keepLines w:val="0"/>
              <w:suppressLineNumbers w:val="0"/>
              <w:spacing w:before="0" w:beforeAutospacing="0" w:after="0" w:afterAutospacing="0" w:line="500" w:lineRule="exact"/>
              <w:ind w:left="0" w:right="0"/>
              <w:jc w:val="center"/>
              <w:rPr>
                <w:rFonts w:hint="eastAsia" w:ascii="宋体" w:hAnsi="宋体" w:eastAsia="宋体" w:cs="宋体"/>
                <w:color w:val="auto"/>
                <w:sz w:val="24"/>
                <w:highlight w:val="none"/>
              </w:rPr>
            </w:pPr>
          </w:p>
        </w:tc>
      </w:tr>
    </w:tbl>
    <w:p>
      <w:pPr>
        <w:pStyle w:val="24"/>
        <w:spacing w:line="500" w:lineRule="exact"/>
        <w:rPr>
          <w:rFonts w:hint="eastAsia" w:ascii="宋体" w:hAnsi="宋体" w:eastAsia="宋体" w:cs="宋体"/>
          <w:color w:val="auto"/>
          <w:sz w:val="24"/>
          <w:szCs w:val="24"/>
          <w:highlight w:val="none"/>
        </w:rPr>
      </w:pPr>
      <w:bookmarkStart w:id="123" w:name="_Toc179632820"/>
      <w:bookmarkStart w:id="124" w:name="_Toc152042589"/>
      <w:bookmarkStart w:id="125" w:name="_Toc246996367"/>
      <w:bookmarkStart w:id="126" w:name="_Toc144974868"/>
      <w:bookmarkStart w:id="127" w:name="_Toc152045800"/>
      <w:bookmarkStart w:id="128" w:name="_Toc246997110"/>
      <w:r>
        <w:rPr>
          <w:rFonts w:hint="eastAsia" w:ascii="宋体" w:hAnsi="宋体" w:eastAsia="宋体" w:cs="宋体"/>
          <w:color w:val="auto"/>
          <w:sz w:val="24"/>
          <w:szCs w:val="24"/>
          <w:highlight w:val="none"/>
        </w:rPr>
        <w:br w:type="page"/>
      </w:r>
      <w:bookmarkStart w:id="129" w:name="_Toc247085885"/>
      <w:bookmarkStart w:id="130" w:name="_Toc296602612"/>
      <w:r>
        <w:rPr>
          <w:rFonts w:hint="eastAsia" w:ascii="宋体" w:hAnsi="宋体" w:eastAsia="宋体" w:cs="宋体"/>
          <w:b/>
          <w:bCs/>
          <w:color w:val="auto"/>
          <w:sz w:val="30"/>
          <w:szCs w:val="30"/>
          <w:highlight w:val="none"/>
        </w:rPr>
        <w:t>附表三：进度计划</w:t>
      </w:r>
      <w:bookmarkEnd w:id="123"/>
      <w:bookmarkEnd w:id="124"/>
      <w:bookmarkEnd w:id="125"/>
      <w:bookmarkEnd w:id="126"/>
      <w:bookmarkEnd w:id="127"/>
      <w:bookmarkEnd w:id="128"/>
      <w:bookmarkEnd w:id="129"/>
      <w:bookmarkEnd w:id="130"/>
    </w:p>
    <w:p>
      <w:pPr>
        <w:spacing w:line="500" w:lineRule="exact"/>
        <w:rPr>
          <w:rFonts w:hint="eastAsia" w:ascii="宋体" w:hAnsi="宋体" w:eastAsia="宋体" w:cs="宋体"/>
          <w:color w:val="auto"/>
          <w:sz w:val="24"/>
          <w:highlight w:val="none"/>
        </w:rPr>
      </w:pP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w:t>
      </w: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应递交施工进度网络图或施工进度表，说明按</w:t>
      </w:r>
      <w:r>
        <w:rPr>
          <w:rFonts w:hint="eastAsia" w:ascii="宋体" w:hAnsi="宋体" w:cs="宋体"/>
          <w:color w:val="auto"/>
          <w:sz w:val="24"/>
          <w:highlight w:val="none"/>
          <w:lang w:val="en-US" w:eastAsia="zh-CN"/>
        </w:rPr>
        <w:t>采购</w:t>
      </w:r>
      <w:r>
        <w:rPr>
          <w:rFonts w:hint="eastAsia" w:ascii="宋体" w:hAnsi="宋体" w:eastAsia="宋体" w:cs="宋体"/>
          <w:color w:val="auto"/>
          <w:sz w:val="24"/>
          <w:highlight w:val="none"/>
          <w:lang w:eastAsia="zh-CN"/>
        </w:rPr>
        <w:t>文件</w:t>
      </w:r>
      <w:r>
        <w:rPr>
          <w:rFonts w:hint="eastAsia" w:ascii="宋体" w:hAnsi="宋体" w:eastAsia="宋体" w:cs="宋体"/>
          <w:color w:val="auto"/>
          <w:sz w:val="24"/>
          <w:highlight w:val="none"/>
        </w:rPr>
        <w:t>要求的计划工期进行施工的各个关键日期。</w:t>
      </w:r>
    </w:p>
    <w:p>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 施工进度表可采用网络图或横道图表示。</w:t>
      </w:r>
    </w:p>
    <w:p>
      <w:pPr>
        <w:spacing w:line="500" w:lineRule="exact"/>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30"/>
          <w:szCs w:val="30"/>
          <w:highlight w:val="none"/>
        </w:rPr>
      </w:pPr>
      <w:r>
        <w:rPr>
          <w:rFonts w:hint="eastAsia" w:ascii="宋体" w:hAnsi="宋体" w:eastAsia="宋体" w:cs="宋体"/>
          <w:color w:val="auto"/>
          <w:sz w:val="24"/>
          <w:highlight w:val="none"/>
        </w:rPr>
        <w:br w:type="page"/>
      </w:r>
      <w:bookmarkStart w:id="131" w:name="_Toc246996368"/>
      <w:bookmarkStart w:id="132" w:name="_Toc152042590"/>
      <w:bookmarkStart w:id="133" w:name="_Toc179632821"/>
      <w:bookmarkStart w:id="134" w:name="_Toc296602613"/>
      <w:bookmarkStart w:id="135" w:name="_Toc152045801"/>
      <w:bookmarkStart w:id="136" w:name="_Toc247085886"/>
      <w:bookmarkStart w:id="137" w:name="_Toc144974869"/>
      <w:bookmarkStart w:id="138" w:name="_Toc246997111"/>
      <w:r>
        <w:rPr>
          <w:rFonts w:hint="eastAsia" w:ascii="宋体" w:hAnsi="宋体" w:eastAsia="宋体" w:cs="宋体"/>
          <w:b/>
          <w:bCs/>
          <w:color w:val="auto"/>
          <w:sz w:val="30"/>
          <w:szCs w:val="30"/>
          <w:highlight w:val="none"/>
        </w:rPr>
        <w:t>附表四：施工总平面图</w:t>
      </w:r>
      <w:bookmarkEnd w:id="131"/>
      <w:bookmarkEnd w:id="132"/>
      <w:bookmarkEnd w:id="133"/>
      <w:bookmarkEnd w:id="134"/>
      <w:bookmarkEnd w:id="135"/>
      <w:bookmarkEnd w:id="136"/>
      <w:bookmarkEnd w:id="137"/>
      <w:bookmarkEnd w:id="138"/>
    </w:p>
    <w:p>
      <w:pPr>
        <w:spacing w:line="500" w:lineRule="exact"/>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ab/>
      </w:r>
    </w:p>
    <w:p>
      <w:pPr>
        <w:spacing w:line="50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eastAsia="宋体" w:cs="宋体"/>
          <w:color w:val="auto"/>
          <w:sz w:val="24"/>
          <w:highlight w:val="none"/>
        </w:rPr>
        <w:t>应递交一份施工总平面图，绘出现场临时设施布置图表，并注明临时设施、加工车间、现场办公、设备及仓储、供电、供水、卫生、生活、道路、消防等设施的情况和布置。</w:t>
      </w:r>
      <w:r>
        <w:rPr>
          <w:rFonts w:hint="eastAsia" w:ascii="宋体" w:hAnsi="宋体" w:eastAsia="宋体" w:cs="宋体"/>
          <w:color w:val="auto"/>
          <w:sz w:val="24"/>
          <w:highlight w:val="none"/>
        </w:rPr>
        <w:br w:type="page"/>
      </w:r>
      <w:bookmarkStart w:id="139" w:name="_Toc152045813"/>
      <w:bookmarkStart w:id="140" w:name="_Toc152042602"/>
      <w:bookmarkStart w:id="141" w:name="_Toc179632833"/>
      <w:bookmarkStart w:id="142" w:name="_Toc144974881"/>
    </w:p>
    <w:bookmarkEnd w:id="139"/>
    <w:bookmarkEnd w:id="140"/>
    <w:bookmarkEnd w:id="141"/>
    <w:bookmarkEnd w:id="142"/>
    <w:p>
      <w:pPr>
        <w:pStyle w:val="6"/>
        <w:bidi w:val="0"/>
        <w:jc w:val="center"/>
        <w:rPr>
          <w:rFonts w:hint="eastAsia" w:ascii="宋体" w:hAnsi="宋体" w:eastAsia="宋体" w:cs="宋体"/>
          <w:color w:val="auto"/>
          <w:highlight w:val="none"/>
        </w:rPr>
      </w:pPr>
      <w:bookmarkStart w:id="143" w:name="_Toc30554"/>
      <w:r>
        <w:rPr>
          <w:rFonts w:hint="eastAsia" w:ascii="宋体" w:hAnsi="宋体" w:eastAsia="宋体" w:cs="宋体"/>
          <w:color w:val="auto"/>
          <w:highlight w:val="none"/>
        </w:rPr>
        <w:t xml:space="preserve">第三章 </w:t>
      </w:r>
      <w:bookmarkEnd w:id="74"/>
      <w:r>
        <w:rPr>
          <w:rFonts w:hint="eastAsia" w:ascii="宋体" w:hAnsi="宋体" w:eastAsia="宋体" w:cs="宋体"/>
          <w:color w:val="auto"/>
          <w:highlight w:val="none"/>
        </w:rPr>
        <w:t>技术要求及工程量清单</w:t>
      </w:r>
      <w:bookmarkEnd w:id="143"/>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w:t>
      </w:r>
      <w:r>
        <w:rPr>
          <w:rFonts w:hint="eastAsia" w:ascii="宋体" w:hAnsi="宋体" w:eastAsia="宋体" w:cs="宋体"/>
          <w:b/>
          <w:color w:val="auto"/>
          <w:sz w:val="30"/>
          <w:szCs w:val="30"/>
          <w:highlight w:val="none"/>
          <w:lang w:eastAsia="zh-CN"/>
        </w:rPr>
        <w:t>一</w:t>
      </w:r>
      <w:r>
        <w:rPr>
          <w:rFonts w:hint="eastAsia" w:ascii="宋体" w:hAnsi="宋体" w:eastAsia="宋体" w:cs="宋体"/>
          <w:b/>
          <w:color w:val="auto"/>
          <w:sz w:val="30"/>
          <w:szCs w:val="30"/>
          <w:highlight w:val="none"/>
        </w:rPr>
        <w:t>节 技术要求</w:t>
      </w:r>
      <w:bookmarkStart w:id="144" w:name="EptNR_技术标准和要求"/>
      <w:bookmarkEnd w:id="144"/>
    </w:p>
    <w:p>
      <w:pPr>
        <w:pStyle w:val="7"/>
        <w:spacing w:line="360" w:lineRule="auto"/>
        <w:rPr>
          <w:rFonts w:hint="eastAsia" w:ascii="宋体" w:hAnsi="宋体" w:eastAsia="宋体" w:cs="宋体"/>
          <w:color w:val="auto"/>
          <w:sz w:val="24"/>
          <w:highlight w:val="none"/>
        </w:rPr>
      </w:pPr>
      <w:bookmarkStart w:id="145" w:name="_Toc420508912"/>
      <w:bookmarkStart w:id="146" w:name="_Toc12692"/>
      <w:bookmarkStart w:id="147" w:name="_Toc21207"/>
      <w:bookmarkStart w:id="148" w:name="_Toc5024"/>
      <w:bookmarkStart w:id="149" w:name="_Toc26499"/>
      <w:bookmarkStart w:id="150" w:name="_Toc11892"/>
      <w:bookmarkStart w:id="151" w:name="_Toc10727_WPSOffice_Level1"/>
      <w:bookmarkStart w:id="152" w:name="_Toc4817"/>
      <w:bookmarkStart w:id="153" w:name="_Toc12626_WPSOffice_Level1"/>
      <w:bookmarkStart w:id="154" w:name="_Toc27203"/>
      <w:bookmarkStart w:id="155" w:name="_Toc9720"/>
      <w:bookmarkStart w:id="156" w:name="_Toc10621"/>
      <w:bookmarkStart w:id="157" w:name="_Toc11120"/>
      <w:r>
        <w:rPr>
          <w:rFonts w:hint="eastAsia" w:ascii="宋体" w:hAnsi="宋体" w:eastAsia="宋体" w:cs="宋体"/>
          <w:color w:val="auto"/>
          <w:sz w:val="24"/>
          <w:highlight w:val="none"/>
        </w:rPr>
        <w:t>一、工程描述</w:t>
      </w:r>
      <w:bookmarkEnd w:id="145"/>
      <w:bookmarkEnd w:id="146"/>
      <w:bookmarkEnd w:id="147"/>
      <w:bookmarkEnd w:id="148"/>
      <w:bookmarkEnd w:id="149"/>
      <w:bookmarkEnd w:id="150"/>
      <w:bookmarkEnd w:id="151"/>
      <w:bookmarkEnd w:id="152"/>
      <w:bookmarkEnd w:id="153"/>
      <w:bookmarkEnd w:id="154"/>
      <w:bookmarkEnd w:id="155"/>
      <w:bookmarkEnd w:id="156"/>
      <w:bookmarkEnd w:id="157"/>
    </w:p>
    <w:p>
      <w:pPr>
        <w:pStyle w:val="7"/>
        <w:spacing w:line="360" w:lineRule="auto"/>
        <w:rPr>
          <w:rFonts w:hint="eastAsia" w:ascii="宋体" w:hAnsi="宋体" w:eastAsia="宋体" w:cs="宋体"/>
          <w:color w:val="auto"/>
          <w:sz w:val="24"/>
          <w:highlight w:val="none"/>
        </w:rPr>
      </w:pPr>
      <w:bookmarkStart w:id="158" w:name="_Toc31293"/>
      <w:bookmarkStart w:id="159" w:name="_Toc420508913"/>
      <w:bookmarkStart w:id="160" w:name="_Toc22948"/>
      <w:bookmarkStart w:id="161" w:name="_Toc9565"/>
      <w:bookmarkStart w:id="162" w:name="_Toc5021_WPSOffice_Level1"/>
      <w:bookmarkStart w:id="163" w:name="_Toc27733"/>
      <w:bookmarkStart w:id="164" w:name="_Toc30945"/>
      <w:bookmarkStart w:id="165" w:name="_Toc13221"/>
      <w:bookmarkStart w:id="166" w:name="_Toc17177_WPSOffice_Level1"/>
      <w:bookmarkStart w:id="167" w:name="_Toc7804"/>
      <w:bookmarkStart w:id="168" w:name="_Toc8872"/>
      <w:bookmarkStart w:id="169" w:name="_Toc7241"/>
      <w:bookmarkStart w:id="170" w:name="_Toc30831"/>
      <w:r>
        <w:rPr>
          <w:rFonts w:hint="eastAsia" w:ascii="宋体" w:hAnsi="宋体" w:eastAsia="宋体" w:cs="宋体"/>
          <w:color w:val="auto"/>
          <w:sz w:val="24"/>
          <w:highlight w:val="none"/>
        </w:rPr>
        <w:t>二、现场施工组织应充分</w:t>
      </w:r>
      <w:bookmarkEnd w:id="158"/>
      <w:bookmarkEnd w:id="159"/>
      <w:bookmarkEnd w:id="160"/>
      <w:bookmarkEnd w:id="161"/>
      <w:bookmarkEnd w:id="162"/>
      <w:bookmarkEnd w:id="163"/>
      <w:bookmarkEnd w:id="164"/>
      <w:bookmarkEnd w:id="165"/>
      <w:bookmarkEnd w:id="166"/>
      <w:bookmarkEnd w:id="167"/>
      <w:bookmarkEnd w:id="168"/>
      <w:bookmarkEnd w:id="169"/>
      <w:bookmarkEnd w:id="170"/>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在人员活动、材料堆放、施工时间安排上，按有关规定要求安排计划。</w:t>
      </w:r>
    </w:p>
    <w:p>
      <w:pPr>
        <w:pStyle w:val="7"/>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三、主要施工内容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东联路（凌海段）路灯线路维修改造工程</w:t>
      </w:r>
      <w:r>
        <w:rPr>
          <w:rFonts w:hint="eastAsia" w:ascii="宋体" w:hAnsi="宋体" w:eastAsia="宋体" w:cs="宋体"/>
          <w:color w:val="auto"/>
          <w:szCs w:val="21"/>
          <w:highlight w:val="none"/>
          <w:lang w:val="en-US" w:eastAsia="zh-CN"/>
        </w:rPr>
        <w:t>，范围包括挖沟槽土方、管沟撼砂回填、外运土方、方砖拆除恢复、过路顶管、铺设电缆保护管、铺设电力电缆、更换路灯杆及照明灯具、新建电缆井、恢复草皮及后期养护等相关内容。</w:t>
      </w:r>
    </w:p>
    <w:p>
      <w:pPr>
        <w:pStyle w:val="7"/>
        <w:spacing w:line="360" w:lineRule="auto"/>
        <w:rPr>
          <w:rFonts w:hint="eastAsia" w:ascii="宋体" w:hAnsi="宋体" w:eastAsia="宋体" w:cs="宋体"/>
          <w:color w:val="auto"/>
          <w:sz w:val="24"/>
          <w:highlight w:val="none"/>
        </w:rPr>
      </w:pPr>
      <w:bookmarkStart w:id="171" w:name="_Toc9688"/>
      <w:bookmarkStart w:id="172" w:name="_Toc1431"/>
      <w:bookmarkStart w:id="173" w:name="_Toc1308"/>
      <w:bookmarkStart w:id="174" w:name="_Toc22818"/>
      <w:bookmarkStart w:id="175" w:name="_Toc10181"/>
      <w:bookmarkStart w:id="176" w:name="_Toc11561"/>
      <w:bookmarkStart w:id="177" w:name="_Toc19706"/>
      <w:bookmarkStart w:id="178" w:name="_Toc32075"/>
      <w:bookmarkStart w:id="179" w:name="_Toc13344"/>
      <w:bookmarkStart w:id="180" w:name="_Toc26798_WPSOffice_Level1"/>
      <w:bookmarkStart w:id="181" w:name="_Toc24040_WPSOffice_Level1"/>
      <w:bookmarkStart w:id="182" w:name="_Toc8333"/>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、技术规范</w:t>
      </w:r>
      <w:bookmarkEnd w:id="171"/>
      <w:bookmarkEnd w:id="172"/>
      <w:bookmarkEnd w:id="173"/>
      <w:bookmarkEnd w:id="174"/>
      <w:bookmarkEnd w:id="175"/>
      <w:bookmarkEnd w:id="176"/>
      <w:bookmarkEnd w:id="177"/>
      <w:bookmarkEnd w:id="178"/>
      <w:bookmarkEnd w:id="179"/>
      <w:bookmarkEnd w:id="180"/>
      <w:bookmarkEnd w:id="181"/>
      <w:bookmarkEnd w:id="182"/>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按国家、行业、地方有关标准，规范执行。如上述标准、规范对同一问</w:t>
      </w:r>
      <w:r>
        <w:rPr>
          <w:rFonts w:hint="eastAsia" w:ascii="宋体" w:hAnsi="宋体" w:cs="宋体"/>
          <w:color w:val="auto"/>
          <w:szCs w:val="21"/>
          <w:highlight w:val="none"/>
          <w:lang w:val="en-US" w:eastAsia="zh-CN"/>
        </w:rPr>
        <w:t>题</w:t>
      </w:r>
      <w:r>
        <w:rPr>
          <w:rFonts w:hint="eastAsia" w:ascii="宋体" w:hAnsi="宋体" w:cs="宋体"/>
          <w:color w:val="auto"/>
          <w:szCs w:val="21"/>
          <w:highlight w:val="none"/>
        </w:rPr>
        <w:t>要求不一致时以业主解释为准。</w:t>
      </w:r>
    </w:p>
    <w:p>
      <w:pPr>
        <w:pStyle w:val="7"/>
        <w:spacing w:line="360" w:lineRule="auto"/>
        <w:rPr>
          <w:rFonts w:hint="eastAsia" w:ascii="宋体" w:hAnsi="宋体" w:eastAsia="宋体" w:cs="宋体"/>
          <w:color w:val="auto"/>
          <w:sz w:val="24"/>
          <w:highlight w:val="none"/>
        </w:rPr>
      </w:pPr>
      <w:bookmarkStart w:id="183" w:name="_Toc23762"/>
      <w:bookmarkStart w:id="184" w:name="_Toc16493"/>
      <w:bookmarkStart w:id="185" w:name="_Toc19"/>
      <w:bookmarkStart w:id="186" w:name="_Toc27105"/>
      <w:bookmarkStart w:id="187" w:name="_Toc2122"/>
      <w:bookmarkStart w:id="188" w:name="_Toc24157"/>
      <w:bookmarkStart w:id="189" w:name="_Toc18076_WPSOffice_Level1"/>
      <w:bookmarkStart w:id="190" w:name="_Toc16857"/>
      <w:bookmarkStart w:id="191" w:name="_Toc14207"/>
      <w:bookmarkStart w:id="192" w:name="_Toc1901"/>
      <w:bookmarkStart w:id="193" w:name="_Toc8639"/>
      <w:bookmarkStart w:id="194" w:name="_Toc22303_WPSOffice_Level1"/>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、具体施工要求以甲方要求为准。</w:t>
      </w:r>
      <w:bookmarkEnd w:id="183"/>
      <w:bookmarkEnd w:id="184"/>
      <w:bookmarkEnd w:id="185"/>
      <w:bookmarkEnd w:id="186"/>
      <w:bookmarkEnd w:id="187"/>
      <w:bookmarkEnd w:id="188"/>
      <w:bookmarkEnd w:id="189"/>
      <w:bookmarkEnd w:id="190"/>
      <w:bookmarkEnd w:id="191"/>
      <w:bookmarkEnd w:id="192"/>
      <w:bookmarkEnd w:id="193"/>
      <w:bookmarkEnd w:id="194"/>
    </w:p>
    <w:p>
      <w:pPr>
        <w:spacing w:line="500" w:lineRule="exact"/>
        <w:rPr>
          <w:rFonts w:hint="eastAsia" w:ascii="宋体" w:hAnsi="宋体" w:eastAsia="宋体" w:cs="宋体"/>
          <w:color w:val="auto"/>
          <w:sz w:val="21"/>
          <w:szCs w:val="21"/>
          <w:highlight w:val="none"/>
        </w:rPr>
      </w:pPr>
    </w:p>
    <w:p>
      <w:pPr>
        <w:rPr>
          <w:rFonts w:hint="eastAsia" w:ascii="宋体" w:hAnsi="宋体" w:eastAsia="宋体" w:cs="宋体"/>
          <w:color w:val="auto"/>
          <w:sz w:val="24"/>
          <w:highlight w:val="none"/>
        </w:rPr>
      </w:pPr>
    </w:p>
    <w:p>
      <w:pPr>
        <w:spacing w:line="400" w:lineRule="exact"/>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7"/>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7"/>
        <w:rPr>
          <w:rFonts w:hint="eastAsia"/>
          <w:color w:val="auto"/>
          <w:highlight w:val="none"/>
        </w:rPr>
      </w:pPr>
    </w:p>
    <w:p>
      <w:pPr>
        <w:rPr>
          <w:rFonts w:hint="eastAsia"/>
          <w:color w:val="auto"/>
          <w:highlight w:val="none"/>
        </w:rPr>
      </w:pPr>
    </w:p>
    <w:p>
      <w:pPr>
        <w:pStyle w:val="3"/>
        <w:rPr>
          <w:rFonts w:hint="eastAsia"/>
          <w:highlight w:val="none"/>
        </w:rPr>
      </w:pPr>
    </w:p>
    <w:p>
      <w:pPr>
        <w:spacing w:line="360" w:lineRule="auto"/>
        <w:jc w:val="center"/>
        <w:rPr>
          <w:rFonts w:hint="eastAsia" w:ascii="宋体" w:hAnsi="宋体" w:eastAsia="宋体" w:cs="宋体"/>
          <w:b/>
          <w:color w:val="auto"/>
          <w:sz w:val="28"/>
          <w:szCs w:val="28"/>
          <w:highlight w:val="none"/>
        </w:rPr>
      </w:pPr>
    </w:p>
    <w:p>
      <w:pPr>
        <w:spacing w:line="360" w:lineRule="auto"/>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第</w:t>
      </w:r>
      <w:r>
        <w:rPr>
          <w:rFonts w:hint="eastAsia" w:ascii="宋体" w:hAnsi="宋体" w:eastAsia="宋体" w:cs="宋体"/>
          <w:b/>
          <w:color w:val="auto"/>
          <w:sz w:val="30"/>
          <w:szCs w:val="30"/>
          <w:highlight w:val="none"/>
          <w:lang w:eastAsia="zh-CN"/>
        </w:rPr>
        <w:t>二</w:t>
      </w:r>
      <w:r>
        <w:rPr>
          <w:rFonts w:hint="eastAsia" w:ascii="宋体" w:hAnsi="宋体" w:eastAsia="宋体" w:cs="宋体"/>
          <w:b/>
          <w:color w:val="auto"/>
          <w:sz w:val="30"/>
          <w:szCs w:val="30"/>
          <w:highlight w:val="none"/>
        </w:rPr>
        <w:t>节 工程量清单</w:t>
      </w:r>
    </w:p>
    <w:p>
      <w:pPr>
        <w:spacing w:line="360" w:lineRule="auto"/>
        <w:jc w:val="center"/>
        <w:rPr>
          <w:rFonts w:hint="eastAsia" w:ascii="宋体" w:hAnsi="宋体" w:eastAsia="宋体" w:cs="宋体"/>
          <w:b/>
          <w:color w:val="auto"/>
          <w:sz w:val="24"/>
          <w:szCs w:val="24"/>
          <w:highlight w:val="none"/>
        </w:rPr>
      </w:pPr>
      <w:bookmarkStart w:id="195" w:name="_Toc4485644"/>
    </w:p>
    <w:p>
      <w:pPr>
        <w:pStyle w:val="76"/>
        <w:rPr>
          <w:rFonts w:hint="eastAsia" w:ascii="宋体" w:hAnsi="宋体" w:eastAsia="宋体" w:cs="宋体"/>
          <w:color w:val="auto"/>
          <w:sz w:val="24"/>
          <w:szCs w:val="24"/>
          <w:highlight w:val="none"/>
        </w:rPr>
      </w:pPr>
    </w:p>
    <w:p>
      <w:pPr>
        <w:pStyle w:val="76"/>
        <w:jc w:val="center"/>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另附</w:t>
      </w:r>
    </w:p>
    <w:p>
      <w:pPr>
        <w:pStyle w:val="76"/>
        <w:jc w:val="center"/>
        <w:rPr>
          <w:rFonts w:hint="eastAsia" w:ascii="宋体" w:hAnsi="宋体" w:cs="宋体"/>
          <w:color w:val="auto"/>
          <w:sz w:val="24"/>
          <w:szCs w:val="24"/>
          <w:highlight w:val="none"/>
          <w:lang w:eastAsia="zh-CN"/>
        </w:rPr>
      </w:pPr>
    </w:p>
    <w:p>
      <w:pPr>
        <w:pStyle w:val="76"/>
        <w:jc w:val="center"/>
        <w:rPr>
          <w:rFonts w:hint="eastAsia" w:ascii="宋体" w:hAnsi="宋体" w:cs="宋体"/>
          <w:color w:val="auto"/>
          <w:sz w:val="24"/>
          <w:szCs w:val="24"/>
          <w:highlight w:val="none"/>
          <w:lang w:eastAsia="zh-CN"/>
        </w:rPr>
      </w:pPr>
    </w:p>
    <w:p>
      <w:pPr>
        <w:pStyle w:val="76"/>
        <w:jc w:val="center"/>
        <w:rPr>
          <w:rFonts w:hint="eastAsia" w:ascii="宋体" w:hAnsi="宋体" w:cs="宋体"/>
          <w:color w:val="auto"/>
          <w:sz w:val="24"/>
          <w:szCs w:val="24"/>
          <w:highlight w:val="none"/>
          <w:lang w:eastAsia="zh-CN"/>
        </w:rPr>
      </w:pPr>
    </w:p>
    <w:p>
      <w:pPr>
        <w:pStyle w:val="76"/>
        <w:jc w:val="center"/>
        <w:rPr>
          <w:rFonts w:hint="eastAsia" w:ascii="宋体" w:hAnsi="宋体" w:cs="宋体"/>
          <w:color w:val="auto"/>
          <w:sz w:val="24"/>
          <w:szCs w:val="24"/>
          <w:highlight w:val="none"/>
          <w:lang w:eastAsia="zh-CN"/>
        </w:rPr>
      </w:pPr>
    </w:p>
    <w:p>
      <w:pPr>
        <w:pStyle w:val="76"/>
        <w:jc w:val="center"/>
        <w:rPr>
          <w:rFonts w:hint="eastAsia" w:ascii="宋体" w:hAnsi="宋体" w:cs="宋体"/>
          <w:color w:val="auto"/>
          <w:sz w:val="24"/>
          <w:szCs w:val="24"/>
          <w:highlight w:val="none"/>
          <w:lang w:eastAsia="zh-CN"/>
        </w:rPr>
      </w:pPr>
    </w:p>
    <w:p>
      <w:pPr>
        <w:pStyle w:val="76"/>
        <w:jc w:val="center"/>
        <w:rPr>
          <w:rFonts w:hint="eastAsia" w:ascii="宋体" w:hAnsi="宋体" w:cs="宋体"/>
          <w:color w:val="auto"/>
          <w:sz w:val="24"/>
          <w:szCs w:val="24"/>
          <w:highlight w:val="none"/>
          <w:lang w:eastAsia="zh-CN"/>
        </w:rPr>
      </w:pPr>
    </w:p>
    <w:p>
      <w:pPr>
        <w:pStyle w:val="76"/>
        <w:jc w:val="center"/>
        <w:rPr>
          <w:rFonts w:hint="eastAsia" w:ascii="宋体" w:hAnsi="宋体" w:cs="宋体"/>
          <w:color w:val="auto"/>
          <w:sz w:val="24"/>
          <w:szCs w:val="24"/>
          <w:highlight w:val="none"/>
          <w:lang w:eastAsia="zh-CN"/>
        </w:rPr>
      </w:pPr>
    </w:p>
    <w:p>
      <w:pPr>
        <w:pStyle w:val="76"/>
        <w:jc w:val="center"/>
        <w:rPr>
          <w:rFonts w:hint="eastAsia" w:ascii="宋体" w:hAnsi="宋体" w:cs="宋体"/>
          <w:color w:val="auto"/>
          <w:sz w:val="24"/>
          <w:szCs w:val="24"/>
          <w:highlight w:val="none"/>
          <w:lang w:eastAsia="zh-CN"/>
        </w:rPr>
      </w:pPr>
    </w:p>
    <w:p>
      <w:pPr>
        <w:pStyle w:val="76"/>
        <w:jc w:val="center"/>
        <w:rPr>
          <w:rFonts w:hint="eastAsia" w:ascii="宋体" w:hAnsi="宋体" w:cs="宋体"/>
          <w:color w:val="auto"/>
          <w:sz w:val="24"/>
          <w:szCs w:val="24"/>
          <w:highlight w:val="none"/>
          <w:lang w:eastAsia="zh-CN"/>
        </w:rPr>
      </w:pPr>
    </w:p>
    <w:p>
      <w:pPr>
        <w:pStyle w:val="76"/>
        <w:jc w:val="center"/>
        <w:rPr>
          <w:rFonts w:hint="eastAsia" w:ascii="宋体" w:hAnsi="宋体" w:cs="宋体"/>
          <w:color w:val="auto"/>
          <w:sz w:val="24"/>
          <w:szCs w:val="24"/>
          <w:highlight w:val="none"/>
          <w:lang w:eastAsia="zh-CN"/>
        </w:rPr>
      </w:pPr>
    </w:p>
    <w:p>
      <w:pPr>
        <w:pStyle w:val="76"/>
        <w:jc w:val="center"/>
        <w:rPr>
          <w:rFonts w:hint="eastAsia" w:ascii="宋体" w:hAnsi="宋体" w:cs="宋体"/>
          <w:color w:val="auto"/>
          <w:sz w:val="24"/>
          <w:szCs w:val="24"/>
          <w:highlight w:val="none"/>
          <w:lang w:eastAsia="zh-CN"/>
        </w:rPr>
      </w:pPr>
    </w:p>
    <w:p>
      <w:pPr>
        <w:spacing w:line="360" w:lineRule="auto"/>
        <w:jc w:val="center"/>
        <w:rPr>
          <w:rFonts w:hint="eastAsia" w:ascii="宋体" w:hAnsi="宋体" w:eastAsia="宋体" w:cs="宋体"/>
          <w:b/>
          <w:color w:val="auto"/>
          <w:sz w:val="30"/>
          <w:szCs w:val="30"/>
          <w:highlight w:val="none"/>
          <w:lang w:eastAsia="zh-CN"/>
        </w:rPr>
      </w:pPr>
      <w:r>
        <w:rPr>
          <w:rFonts w:hint="eastAsia" w:ascii="宋体" w:hAnsi="宋体" w:eastAsia="宋体" w:cs="宋体"/>
          <w:b/>
          <w:color w:val="auto"/>
          <w:sz w:val="30"/>
          <w:szCs w:val="30"/>
          <w:highlight w:val="none"/>
        </w:rPr>
        <w:t>第</w:t>
      </w:r>
      <w:r>
        <w:rPr>
          <w:rFonts w:hint="eastAsia" w:ascii="宋体" w:hAnsi="宋体" w:cs="宋体"/>
          <w:b/>
          <w:color w:val="auto"/>
          <w:sz w:val="30"/>
          <w:szCs w:val="30"/>
          <w:highlight w:val="none"/>
          <w:lang w:eastAsia="zh-CN"/>
        </w:rPr>
        <w:t>三</w:t>
      </w:r>
      <w:r>
        <w:rPr>
          <w:rFonts w:hint="eastAsia" w:ascii="宋体" w:hAnsi="宋体" w:eastAsia="宋体" w:cs="宋体"/>
          <w:b/>
          <w:color w:val="auto"/>
          <w:sz w:val="30"/>
          <w:szCs w:val="30"/>
          <w:highlight w:val="none"/>
        </w:rPr>
        <w:t xml:space="preserve">节 </w:t>
      </w:r>
      <w:r>
        <w:rPr>
          <w:rFonts w:hint="eastAsia" w:ascii="宋体" w:hAnsi="宋体" w:cs="宋体"/>
          <w:b/>
          <w:color w:val="auto"/>
          <w:sz w:val="30"/>
          <w:szCs w:val="30"/>
          <w:highlight w:val="none"/>
          <w:lang w:eastAsia="zh-CN"/>
        </w:rPr>
        <w:t>图纸</w:t>
      </w:r>
    </w:p>
    <w:p>
      <w:pPr>
        <w:pStyle w:val="6"/>
        <w:jc w:val="center"/>
        <w:rPr>
          <w:rFonts w:hint="eastAsia" w:ascii="宋体" w:hAnsi="宋体" w:eastAsia="宋体" w:cs="宋体"/>
          <w:color w:val="auto"/>
          <w:szCs w:val="44"/>
          <w:highlight w:val="none"/>
        </w:rPr>
      </w:pPr>
      <w:r>
        <w:rPr>
          <w:rFonts w:hint="eastAsia" w:ascii="宋体" w:hAnsi="宋体" w:eastAsia="宋体" w:cs="宋体"/>
          <w:b w:val="0"/>
          <w:color w:val="auto"/>
          <w:kern w:val="2"/>
          <w:sz w:val="24"/>
          <w:szCs w:val="24"/>
          <w:highlight w:val="none"/>
          <w:lang w:val="en-US" w:eastAsia="zh-CN" w:bidi="ar-SA"/>
        </w:rPr>
        <w:t>无</w:t>
      </w:r>
      <w:r>
        <w:rPr>
          <w:rFonts w:hint="eastAsia" w:ascii="宋体" w:hAnsi="宋体" w:eastAsia="宋体" w:cs="宋体"/>
          <w:color w:val="auto"/>
          <w:szCs w:val="44"/>
          <w:highlight w:val="none"/>
        </w:rPr>
        <w:br w:type="page"/>
      </w:r>
      <w:bookmarkStart w:id="196" w:name="_Toc16307"/>
      <w:r>
        <w:rPr>
          <w:rFonts w:hint="eastAsia" w:ascii="宋体" w:hAnsi="宋体" w:eastAsia="宋体" w:cs="宋体"/>
          <w:color w:val="auto"/>
          <w:szCs w:val="44"/>
          <w:highlight w:val="none"/>
        </w:rPr>
        <w:t>第四章 磋商内容、磋商过程中可能实质性变动的内容</w:t>
      </w:r>
      <w:bookmarkEnd w:id="195"/>
      <w:bookmarkEnd w:id="196"/>
    </w:p>
    <w:p>
      <w:pPr>
        <w:jc w:val="center"/>
        <w:rPr>
          <w:rFonts w:hint="eastAsia" w:ascii="宋体" w:hAnsi="宋体" w:eastAsia="宋体" w:cs="宋体"/>
          <w:color w:val="auto"/>
          <w:highlight w:val="none"/>
        </w:rPr>
      </w:pPr>
      <w:r>
        <w:rPr>
          <w:rFonts w:hint="eastAsia" w:ascii="宋体" w:hAnsi="宋体" w:eastAsia="宋体" w:cs="宋体"/>
          <w:bCs/>
          <w:color w:val="auto"/>
          <w:kern w:val="0"/>
          <w:szCs w:val="21"/>
          <w:highlight w:val="none"/>
        </w:rPr>
        <w:t>无</w:t>
      </w:r>
    </w:p>
    <w:p>
      <w:pPr>
        <w:pStyle w:val="6"/>
        <w:jc w:val="center"/>
        <w:rPr>
          <w:rFonts w:hint="eastAsia" w:ascii="宋体" w:hAnsi="宋体" w:eastAsia="宋体" w:cs="宋体"/>
          <w:color w:val="auto"/>
          <w:szCs w:val="44"/>
          <w:highlight w:val="none"/>
        </w:rPr>
      </w:pPr>
      <w:r>
        <w:rPr>
          <w:rFonts w:hint="eastAsia" w:ascii="宋体" w:hAnsi="宋体" w:eastAsia="宋体" w:cs="宋体"/>
          <w:color w:val="auto"/>
          <w:highlight w:val="none"/>
        </w:rPr>
        <w:br w:type="page"/>
      </w:r>
      <w:bookmarkStart w:id="197" w:name="_Toc20247"/>
      <w:bookmarkStart w:id="198" w:name="_Toc4485645"/>
      <w:r>
        <w:rPr>
          <w:rFonts w:hint="eastAsia" w:ascii="宋体" w:hAnsi="宋体" w:eastAsia="宋体" w:cs="宋体"/>
          <w:color w:val="auto"/>
          <w:szCs w:val="44"/>
          <w:highlight w:val="none"/>
        </w:rPr>
        <w:t>第五章 评审办法</w:t>
      </w:r>
      <w:bookmarkEnd w:id="197"/>
      <w:bookmarkEnd w:id="198"/>
    </w:p>
    <w:p>
      <w:pPr>
        <w:adjustRightInd w:val="0"/>
        <w:spacing w:line="360" w:lineRule="auto"/>
        <w:ind w:firstLine="420" w:firstLineChars="200"/>
        <w:rPr>
          <w:rFonts w:ascii="仿宋" w:hAnsi="仿宋" w:eastAsia="仿宋" w:cs="仿宋_GB2312"/>
          <w:bCs/>
          <w:color w:val="auto"/>
          <w:kern w:val="0"/>
          <w:szCs w:val="21"/>
          <w:highlight w:val="none"/>
        </w:rPr>
      </w:pPr>
      <w:r>
        <w:rPr>
          <w:rFonts w:hint="eastAsia" w:ascii="仿宋" w:hAnsi="仿宋" w:eastAsia="仿宋" w:cs="仿宋_GB2312"/>
          <w:bCs/>
          <w:color w:val="auto"/>
          <w:kern w:val="0"/>
          <w:szCs w:val="21"/>
          <w:highlight w:val="none"/>
        </w:rPr>
        <w:t>本项目将按照采购文件第一章供应商须知中“六 磋商及评审”、“七 确定成交”及本章的规定评审。</w:t>
      </w:r>
    </w:p>
    <w:p>
      <w:pPr>
        <w:adjustRightInd w:val="0"/>
        <w:spacing w:line="360" w:lineRule="auto"/>
        <w:ind w:firstLine="422" w:firstLineChars="200"/>
        <w:rPr>
          <w:rFonts w:ascii="仿宋" w:hAnsi="仿宋" w:eastAsia="仿宋" w:cs="仿宋_GB2312"/>
          <w:b/>
          <w:color w:val="auto"/>
          <w:kern w:val="0"/>
          <w:szCs w:val="21"/>
          <w:highlight w:val="none"/>
        </w:rPr>
      </w:pPr>
      <w:r>
        <w:rPr>
          <w:rFonts w:hint="eastAsia" w:ascii="仿宋" w:hAnsi="仿宋" w:eastAsia="仿宋" w:cs="仿宋_GB2312"/>
          <w:b/>
          <w:color w:val="auto"/>
          <w:kern w:val="0"/>
          <w:szCs w:val="21"/>
          <w:highlight w:val="none"/>
        </w:rPr>
        <w:t>一、评审方法</w:t>
      </w:r>
    </w:p>
    <w:p>
      <w:pPr>
        <w:adjustRightInd w:val="0"/>
        <w:spacing w:line="360" w:lineRule="auto"/>
        <w:ind w:firstLine="420" w:firstLineChars="200"/>
        <w:rPr>
          <w:rFonts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本项目采用</w:t>
      </w:r>
      <w:r>
        <w:rPr>
          <w:rFonts w:hint="eastAsia" w:ascii="仿宋" w:hAnsi="仿宋" w:eastAsia="仿宋" w:cs="仿宋_GB2312"/>
          <w:color w:val="auto"/>
          <w:kern w:val="0"/>
          <w:szCs w:val="21"/>
          <w:highlight w:val="none"/>
          <w:u w:val="single"/>
        </w:rPr>
        <w:t xml:space="preserve">     综合评分法     </w:t>
      </w:r>
      <w:r>
        <w:rPr>
          <w:rFonts w:hint="eastAsia" w:ascii="仿宋" w:hAnsi="仿宋" w:eastAsia="仿宋" w:cs="仿宋_GB2312"/>
          <w:color w:val="auto"/>
          <w:kern w:val="0"/>
          <w:szCs w:val="21"/>
          <w:highlight w:val="none"/>
        </w:rPr>
        <w:t>进行</w:t>
      </w:r>
      <w:r>
        <w:rPr>
          <w:rFonts w:hint="eastAsia" w:ascii="仿宋" w:hAnsi="仿宋" w:eastAsia="仿宋" w:cs="仿宋_GB2312"/>
          <w:bCs/>
          <w:color w:val="auto"/>
          <w:kern w:val="0"/>
          <w:szCs w:val="21"/>
          <w:highlight w:val="none"/>
        </w:rPr>
        <w:t>评审</w:t>
      </w:r>
      <w:r>
        <w:rPr>
          <w:rFonts w:hint="eastAsia" w:ascii="仿宋" w:hAnsi="仿宋" w:eastAsia="仿宋" w:cs="仿宋_GB2312"/>
          <w:color w:val="auto"/>
          <w:kern w:val="0"/>
          <w:szCs w:val="21"/>
          <w:highlight w:val="none"/>
        </w:rPr>
        <w:t>。</w:t>
      </w:r>
    </w:p>
    <w:p>
      <w:pPr>
        <w:adjustRightInd w:val="0"/>
        <w:spacing w:line="360" w:lineRule="auto"/>
        <w:ind w:firstLine="422" w:firstLineChars="200"/>
        <w:textAlignment w:val="baseline"/>
        <w:rPr>
          <w:rFonts w:ascii="仿宋" w:hAnsi="仿宋" w:eastAsia="仿宋" w:cs="仿宋_GB2312"/>
          <w:b/>
          <w:color w:val="auto"/>
          <w:kern w:val="0"/>
          <w:szCs w:val="21"/>
          <w:highlight w:val="none"/>
        </w:rPr>
      </w:pPr>
      <w:r>
        <w:rPr>
          <w:rFonts w:hint="eastAsia" w:ascii="仿宋" w:hAnsi="仿宋" w:eastAsia="仿宋" w:cs="仿宋_GB2312"/>
          <w:b/>
          <w:color w:val="auto"/>
          <w:kern w:val="0"/>
          <w:szCs w:val="21"/>
          <w:highlight w:val="none"/>
        </w:rPr>
        <w:t>二、评审原则及程序</w:t>
      </w:r>
    </w:p>
    <w:p>
      <w:pPr>
        <w:adjustRightInd w:val="0"/>
        <w:snapToGrid w:val="0"/>
        <w:spacing w:line="360" w:lineRule="auto"/>
        <w:ind w:firstLine="422" w:firstLineChars="200"/>
        <w:textAlignment w:val="baseline"/>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（一）评审原则</w:t>
      </w:r>
    </w:p>
    <w:p>
      <w:pPr>
        <w:adjustRightInd w:val="0"/>
        <w:snapToGrid w:val="0"/>
        <w:spacing w:line="360" w:lineRule="auto"/>
        <w:ind w:firstLine="420" w:firstLineChars="200"/>
        <w:textAlignment w:val="baseline"/>
        <w:rPr>
          <w:rFonts w:hint="eastAsia" w:ascii="仿宋_GB2312" w:hAnsi="仿宋_GB2312" w:eastAsia="仿宋_GB2312" w:cs="仿宋_GB2312"/>
          <w:color w:val="auto"/>
          <w:kern w:val="0"/>
          <w:highlight w:val="none"/>
        </w:rPr>
      </w:pPr>
      <w:r>
        <w:rPr>
          <w:rFonts w:hint="eastAsia" w:ascii="仿宋_GB2312" w:hAnsi="仿宋_GB2312" w:eastAsia="仿宋_GB2312" w:cs="仿宋_GB2312"/>
          <w:color w:val="auto"/>
          <w:kern w:val="0"/>
          <w:highlight w:val="none"/>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pPr>
        <w:adjustRightInd w:val="0"/>
        <w:snapToGrid w:val="0"/>
        <w:spacing w:line="360" w:lineRule="auto"/>
        <w:ind w:firstLine="422" w:firstLineChars="200"/>
        <w:textAlignment w:val="baseline"/>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（二）评审程序</w:t>
      </w:r>
    </w:p>
    <w:p>
      <w:pPr>
        <w:adjustRightInd w:val="0"/>
        <w:snapToGrid w:val="0"/>
        <w:spacing w:line="360" w:lineRule="auto"/>
        <w:ind w:firstLine="422" w:firstLineChars="200"/>
        <w:textAlignment w:val="baseline"/>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1、资格审查</w:t>
      </w:r>
    </w:p>
    <w:p>
      <w:pPr>
        <w:adjustRightInd w:val="0"/>
        <w:snapToGrid w:val="0"/>
        <w:spacing w:line="360" w:lineRule="auto"/>
        <w:ind w:firstLine="420" w:firstLineChars="200"/>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详见供应商须知22条。资格审查表详见本章附件1。</w:t>
      </w:r>
    </w:p>
    <w:p>
      <w:pPr>
        <w:numPr>
          <w:ilvl w:val="0"/>
          <w:numId w:val="12"/>
        </w:numPr>
        <w:adjustRightInd w:val="0"/>
        <w:snapToGrid w:val="0"/>
        <w:spacing w:line="360" w:lineRule="auto"/>
        <w:ind w:firstLine="422" w:firstLineChars="200"/>
        <w:textAlignment w:val="baseline"/>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符合性审查</w:t>
      </w:r>
    </w:p>
    <w:p>
      <w:pPr>
        <w:adjustRightInd w:val="0"/>
        <w:snapToGrid w:val="0"/>
        <w:spacing w:line="360" w:lineRule="auto"/>
        <w:ind w:firstLine="420" w:firstLineChars="200"/>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2.1详见供应商须知23条。符合性审查表详见本章附件2。</w:t>
      </w:r>
    </w:p>
    <w:p>
      <w:pPr>
        <w:adjustRightInd w:val="0"/>
        <w:snapToGrid w:val="0"/>
        <w:spacing w:line="360" w:lineRule="auto"/>
        <w:ind w:firstLine="422" w:firstLineChars="200"/>
        <w:textAlignment w:val="baseline"/>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3、样品及演示</w:t>
      </w:r>
    </w:p>
    <w:p>
      <w:pPr>
        <w:adjustRightInd w:val="0"/>
        <w:snapToGrid w:val="0"/>
        <w:spacing w:line="360" w:lineRule="auto"/>
        <w:ind w:firstLine="420" w:firstLineChars="200"/>
        <w:textAlignment w:val="baseline"/>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3.1</w:t>
      </w:r>
      <w:r>
        <w:rPr>
          <w:rFonts w:hint="eastAsia" w:ascii="仿宋_GB2312" w:hAnsi="仿宋_GB2312" w:eastAsia="仿宋_GB2312" w:cs="仿宋_GB2312"/>
          <w:color w:val="auto"/>
          <w:kern w:val="0"/>
          <w:szCs w:val="21"/>
          <w:highlight w:val="none"/>
        </w:rPr>
        <w:t>供应商须知表11.3条</w:t>
      </w:r>
      <w:r>
        <w:rPr>
          <w:rFonts w:hint="eastAsia" w:ascii="仿宋_GB2312" w:hAnsi="仿宋_GB2312" w:eastAsia="仿宋_GB2312" w:cs="仿宋_GB2312"/>
          <w:color w:val="auto"/>
          <w:szCs w:val="21"/>
          <w:highlight w:val="none"/>
        </w:rPr>
        <w:t>中要求供应商提供样品或演示的，按照供</w:t>
      </w:r>
      <w:r>
        <w:rPr>
          <w:rFonts w:hint="eastAsia" w:ascii="仿宋_GB2312" w:hAnsi="仿宋_GB2312" w:eastAsia="仿宋_GB2312" w:cs="仿宋_GB2312"/>
          <w:color w:val="auto"/>
          <w:kern w:val="0"/>
          <w:szCs w:val="21"/>
          <w:highlight w:val="none"/>
        </w:rPr>
        <w:t>应商须知表24.1条</w:t>
      </w:r>
      <w:r>
        <w:rPr>
          <w:rFonts w:hint="eastAsia" w:ascii="仿宋_GB2312" w:hAnsi="仿宋_GB2312" w:eastAsia="仿宋_GB2312" w:cs="仿宋_GB2312"/>
          <w:color w:val="auto"/>
          <w:szCs w:val="21"/>
          <w:highlight w:val="none"/>
        </w:rPr>
        <w:t>中确定的评审方法以及评审标准进行评审。(样品或演示属于符合性审查的，按照供应商</w:t>
      </w:r>
      <w:r>
        <w:rPr>
          <w:rFonts w:hint="eastAsia" w:ascii="仿宋_GB2312" w:hAnsi="仿宋_GB2312" w:eastAsia="仿宋_GB2312" w:cs="仿宋_GB2312"/>
          <w:color w:val="auto"/>
          <w:kern w:val="0"/>
          <w:szCs w:val="21"/>
          <w:highlight w:val="none"/>
        </w:rPr>
        <w:t>须知23条</w:t>
      </w:r>
      <w:r>
        <w:rPr>
          <w:rFonts w:hint="eastAsia" w:ascii="仿宋_GB2312" w:hAnsi="仿宋_GB2312" w:eastAsia="仿宋_GB2312" w:cs="仿宋_GB2312"/>
          <w:color w:val="auto"/>
          <w:szCs w:val="21"/>
          <w:highlight w:val="none"/>
        </w:rPr>
        <w:t>规定执行）</w:t>
      </w:r>
    </w:p>
    <w:p>
      <w:pPr>
        <w:adjustRightInd w:val="0"/>
        <w:snapToGrid w:val="0"/>
        <w:spacing w:line="360" w:lineRule="auto"/>
        <w:ind w:firstLine="422" w:firstLineChars="200"/>
        <w:textAlignment w:val="baseline"/>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4、磋商</w:t>
      </w:r>
    </w:p>
    <w:p>
      <w:pPr>
        <w:adjustRightInd w:val="0"/>
        <w:snapToGrid w:val="0"/>
        <w:spacing w:line="360" w:lineRule="auto"/>
        <w:ind w:firstLine="420" w:firstLineChars="200"/>
        <w:textAlignment w:val="baseline"/>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详见供应商须知26条。</w:t>
      </w:r>
    </w:p>
    <w:p>
      <w:pPr>
        <w:adjustRightInd w:val="0"/>
        <w:snapToGrid w:val="0"/>
        <w:spacing w:line="360" w:lineRule="auto"/>
        <w:ind w:firstLine="422" w:firstLineChars="200"/>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5、最后报价</w:t>
      </w:r>
    </w:p>
    <w:p>
      <w:pPr>
        <w:adjustRightInd w:val="0"/>
        <w:snapToGrid w:val="0"/>
        <w:spacing w:line="360" w:lineRule="auto"/>
        <w:ind w:firstLine="420" w:firstLineChars="2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详见供应商须知27条。</w:t>
      </w:r>
    </w:p>
    <w:p>
      <w:pPr>
        <w:adjustRightInd w:val="0"/>
        <w:spacing w:line="360" w:lineRule="auto"/>
        <w:ind w:firstLine="413" w:firstLineChars="196"/>
        <w:rPr>
          <w:rFonts w:hint="eastAsia" w:ascii="仿宋" w:hAnsi="仿宋" w:eastAsia="仿宋" w:cs="仿宋_GB2312"/>
          <w:b/>
          <w:bCs/>
          <w:color w:val="auto"/>
          <w:kern w:val="0"/>
          <w:szCs w:val="21"/>
          <w:highlight w:val="none"/>
        </w:rPr>
      </w:pPr>
      <w:r>
        <w:rPr>
          <w:rFonts w:hint="eastAsia" w:ascii="仿宋" w:hAnsi="仿宋" w:eastAsia="仿宋" w:cs="仿宋_GB2312"/>
          <w:b/>
          <w:bCs/>
          <w:color w:val="auto"/>
          <w:kern w:val="0"/>
          <w:szCs w:val="21"/>
          <w:highlight w:val="none"/>
        </w:rPr>
        <w:t>6、比较及评价</w:t>
      </w:r>
    </w:p>
    <w:p>
      <w:pPr>
        <w:adjustRightInd w:val="0"/>
        <w:spacing w:line="360" w:lineRule="auto"/>
        <w:ind w:firstLine="420" w:firstLineChars="200"/>
        <w:rPr>
          <w:rFonts w:hint="eastAsia"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6.1磋商小组对通过资格性审查、符合性审查的响应文件进行比较和评价。</w:t>
      </w:r>
    </w:p>
    <w:p>
      <w:pPr>
        <w:adjustRightInd w:val="0"/>
        <w:spacing w:line="360" w:lineRule="auto"/>
        <w:ind w:firstLine="420" w:firstLineChars="200"/>
        <w:rPr>
          <w:rFonts w:hint="eastAsia" w:ascii="仿宋" w:hAnsi="仿宋" w:eastAsia="仿宋" w:cs="仿宋_GB2312"/>
          <w:color w:val="auto"/>
          <w:kern w:val="0"/>
          <w:szCs w:val="21"/>
          <w:highlight w:val="none"/>
        </w:rPr>
      </w:pPr>
      <w:r>
        <w:rPr>
          <w:rFonts w:hint="eastAsia" w:ascii="仿宋" w:hAnsi="仿宋" w:eastAsia="仿宋" w:cs="仿宋_GB2312"/>
          <w:color w:val="auto"/>
          <w:kern w:val="0"/>
          <w:szCs w:val="21"/>
          <w:highlight w:val="none"/>
        </w:rPr>
        <w:t>6.2在磋商期间，对响应文件的澄清按供应商须知25条内容执行。</w:t>
      </w:r>
    </w:p>
    <w:p>
      <w:pPr>
        <w:adjustRightIn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 w:hAnsi="仿宋" w:eastAsia="仿宋" w:cs="仿宋_GB2312"/>
          <w:color w:val="auto"/>
          <w:kern w:val="0"/>
          <w:szCs w:val="21"/>
          <w:highlight w:val="none"/>
        </w:rPr>
        <w:t>6.3磋商小组</w:t>
      </w:r>
      <w:r>
        <w:rPr>
          <w:rFonts w:hint="eastAsia" w:ascii="仿宋_GB2312" w:hAnsi="仿宋_GB2312" w:eastAsia="仿宋_GB2312" w:cs="仿宋_GB2312"/>
          <w:color w:val="auto"/>
          <w:szCs w:val="21"/>
          <w:highlight w:val="none"/>
        </w:rPr>
        <w:t>认为供应商的报价明显低于其他通过符合性审查的供应商报价，有可能影响服务质量或者不能诚信履约的，磋商小组应当要求其在评审现场合理的时间（</w:t>
      </w:r>
      <w:r>
        <w:rPr>
          <w:rFonts w:hint="eastAsia" w:ascii="仿宋_GB2312" w:hAnsi="仿宋_GB2312" w:eastAsia="仿宋_GB2312" w:cs="仿宋_GB2312"/>
          <w:color w:val="auto"/>
          <w:kern w:val="0"/>
          <w:szCs w:val="21"/>
          <w:highlight w:val="none"/>
        </w:rPr>
        <w:t>接到通知后</w:t>
      </w:r>
      <w:r>
        <w:rPr>
          <w:rFonts w:hint="eastAsia" w:ascii="仿宋_GB2312" w:hAnsi="仿宋_GB2312" w:eastAsia="仿宋_GB2312" w:cs="仿宋_GB2312"/>
          <w:color w:val="auto"/>
          <w:kern w:val="0"/>
          <w:szCs w:val="21"/>
          <w:highlight w:val="none"/>
          <w:u w:val="single"/>
        </w:rPr>
        <w:t xml:space="preserve">     0.5</w:t>
      </w:r>
      <w:r>
        <w:rPr>
          <w:rFonts w:hint="eastAsia" w:ascii="仿宋_GB2312" w:hAnsi="仿宋_GB2312" w:eastAsia="仿宋_GB2312" w:cs="仿宋_GB2312"/>
          <w:color w:val="auto"/>
          <w:kern w:val="0"/>
          <w:szCs w:val="21"/>
          <w:highlight w:val="none"/>
        </w:rPr>
        <w:t>小时</w:t>
      </w:r>
      <w:r>
        <w:rPr>
          <w:rFonts w:hint="eastAsia" w:ascii="仿宋_GB2312" w:hAnsi="仿宋_GB2312" w:eastAsia="仿宋_GB2312" w:cs="仿宋_GB2312"/>
          <w:color w:val="auto"/>
          <w:szCs w:val="21"/>
          <w:highlight w:val="none"/>
        </w:rPr>
        <w:t>）内提供书面说明，并提交相关证明材料，</w:t>
      </w:r>
      <w:r>
        <w:rPr>
          <w:rFonts w:hint="eastAsia" w:ascii="仿宋_GB2312" w:hAnsi="仿宋_GB2312" w:eastAsia="仿宋_GB2312" w:cs="仿宋_GB2312"/>
          <w:color w:val="auto"/>
          <w:kern w:val="0"/>
          <w:szCs w:val="21"/>
          <w:highlight w:val="none"/>
        </w:rPr>
        <w:t>供应商不能证明其报价合理性的，磋商小组应当将</w:t>
      </w:r>
      <w:r>
        <w:rPr>
          <w:rFonts w:hint="eastAsia" w:ascii="仿宋_GB2312" w:hAnsi="仿宋_GB2312" w:eastAsia="仿宋_GB2312" w:cs="仿宋_GB2312"/>
          <w:color w:val="auto"/>
          <w:szCs w:val="21"/>
          <w:highlight w:val="none"/>
        </w:rPr>
        <w:t>其响应作为</w:t>
      </w:r>
      <w:r>
        <w:rPr>
          <w:rFonts w:hint="eastAsia" w:ascii="仿宋_GB2312" w:hAnsi="仿宋_GB2312" w:eastAsia="仿宋_GB2312" w:cs="仿宋_GB2312"/>
          <w:b/>
          <w:bCs/>
          <w:color w:val="auto"/>
          <w:szCs w:val="21"/>
          <w:highlight w:val="none"/>
        </w:rPr>
        <w:t>无效响应处理</w:t>
      </w:r>
      <w:r>
        <w:rPr>
          <w:rFonts w:hint="eastAsia" w:ascii="仿宋_GB2312" w:hAnsi="仿宋_GB2312" w:eastAsia="仿宋_GB2312" w:cs="仿宋_GB2312"/>
          <w:color w:val="auto"/>
          <w:szCs w:val="21"/>
          <w:highlight w:val="none"/>
        </w:rPr>
        <w:t>。</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供应商的书面说明材料包含货物本身成本、人工费用、运输、税收等，以及最后报价不会影响产品质量或诚信履约能力的说明等。</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供应商的书面说明应当签字确认或者加盖公章，否则无效。书面说明的签字确认，由其法定代表人（非法人单位负责人或自然人本人）或者其授权代表签字确认。</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（1）拒绝或者变相拒绝提供有效书面说明；</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（2）书面说明不能证明其报价合理性的；</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（3）未在规定时间内递交有效书面说明书的。</w:t>
      </w:r>
    </w:p>
    <w:p>
      <w:pPr>
        <w:adjustRightInd w:val="0"/>
        <w:spacing w:line="360" w:lineRule="auto"/>
        <w:ind w:firstLine="422" w:firstLineChars="200"/>
        <w:rPr>
          <w:rFonts w:hint="eastAsia" w:ascii="仿宋" w:hAnsi="仿宋" w:eastAsia="仿宋" w:cs="仿宋_GB2312"/>
          <w:b/>
          <w:color w:val="auto"/>
          <w:kern w:val="0"/>
          <w:szCs w:val="21"/>
          <w:highlight w:val="none"/>
        </w:rPr>
      </w:pPr>
      <w:r>
        <w:rPr>
          <w:rFonts w:hint="eastAsia" w:ascii="仿宋" w:hAnsi="仿宋" w:eastAsia="仿宋" w:cs="仿宋_GB2312"/>
          <w:b/>
          <w:bCs/>
          <w:color w:val="auto"/>
          <w:kern w:val="0"/>
          <w:szCs w:val="21"/>
          <w:highlight w:val="none"/>
        </w:rPr>
        <w:t>7、需落实的政府采购政</w:t>
      </w:r>
      <w:r>
        <w:rPr>
          <w:rFonts w:hint="eastAsia" w:ascii="仿宋" w:hAnsi="仿宋" w:eastAsia="仿宋" w:cs="仿宋_GB2312"/>
          <w:b/>
          <w:color w:val="auto"/>
          <w:kern w:val="0"/>
          <w:szCs w:val="21"/>
          <w:highlight w:val="none"/>
        </w:rPr>
        <w:t>策性规定：</w:t>
      </w:r>
    </w:p>
    <w:p>
      <w:pPr>
        <w:adjustRightInd w:val="0"/>
        <w:spacing w:line="360" w:lineRule="auto"/>
        <w:ind w:firstLine="422" w:firstLineChars="200"/>
        <w:rPr>
          <w:rFonts w:hint="eastAsia" w:ascii="仿宋" w:hAnsi="仿宋" w:eastAsia="仿宋" w:cs="仿宋_GB2312"/>
          <w:b/>
          <w:color w:val="auto"/>
          <w:kern w:val="0"/>
          <w:szCs w:val="21"/>
          <w:highlight w:val="none"/>
        </w:rPr>
      </w:pPr>
      <w:r>
        <w:rPr>
          <w:rFonts w:hint="eastAsia" w:ascii="仿宋" w:hAnsi="仿宋" w:eastAsia="仿宋" w:cs="仿宋_GB2312"/>
          <w:b/>
          <w:color w:val="auto"/>
          <w:kern w:val="0"/>
          <w:szCs w:val="21"/>
          <w:highlight w:val="none"/>
        </w:rPr>
        <w:t>7.1对于中小微企业（含监狱企业）的相关规定</w:t>
      </w:r>
    </w:p>
    <w:p>
      <w:pPr>
        <w:adjustRightInd w:val="0"/>
        <w:snapToGri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7.1.1对于非专门面向中小企业的项目，在满足价格扣除条件且在响应文件中按要求提交了《中小企业声明函》</w:t>
      </w:r>
      <w:r>
        <w:rPr>
          <w:rFonts w:hint="eastAsia" w:ascii="仿宋_GB2312" w:hAnsi="仿宋_GB2312" w:eastAsia="仿宋_GB2312" w:cs="仿宋_GB2312"/>
          <w:color w:val="auto"/>
          <w:kern w:val="0"/>
          <w:szCs w:val="21"/>
          <w:highlight w:val="none"/>
        </w:rPr>
        <w:t>的，</w:t>
      </w:r>
      <w:r>
        <w:rPr>
          <w:rFonts w:hint="eastAsia" w:ascii="仿宋_GB2312" w:hAnsi="仿宋_GB2312" w:eastAsia="仿宋_GB2312" w:cs="仿宋_GB2312"/>
          <w:color w:val="auto"/>
          <w:szCs w:val="21"/>
          <w:highlight w:val="none"/>
        </w:rPr>
        <w:t>对最后报价给予价格扣除，用扣除后的价格参与评审。最后报价扣除比例如下：</w:t>
      </w:r>
    </w:p>
    <w:p>
      <w:pPr>
        <w:adjustRightInd w:val="0"/>
        <w:spacing w:line="360" w:lineRule="auto"/>
        <w:ind w:firstLine="420" w:firstLineChars="200"/>
        <w:rPr>
          <w:rFonts w:hint="eastAsia" w:ascii="仿宋" w:hAnsi="仿宋" w:eastAsia="仿宋" w:cs="仿宋_GB2312"/>
          <w:color w:val="auto"/>
          <w:szCs w:val="21"/>
          <w:highlight w:val="none"/>
        </w:rPr>
      </w:pPr>
      <w:r>
        <w:rPr>
          <w:rFonts w:hint="eastAsia" w:ascii="仿宋" w:hAnsi="仿宋" w:eastAsia="仿宋" w:cs="仿宋_GB2312"/>
          <w:color w:val="auto"/>
          <w:szCs w:val="21"/>
          <w:highlight w:val="none"/>
        </w:rPr>
        <w:t>（1）非联合体投标</w:t>
      </w:r>
    </w:p>
    <w:p>
      <w:pPr>
        <w:adjustRightInd w:val="0"/>
        <w:spacing w:line="360" w:lineRule="auto"/>
        <w:ind w:firstLine="420" w:firstLineChars="200"/>
        <w:rPr>
          <w:rFonts w:hint="eastAsia" w:ascii="仿宋" w:hAnsi="仿宋" w:eastAsia="仿宋" w:cs="仿宋_GB2312"/>
          <w:color w:val="auto"/>
          <w:szCs w:val="21"/>
          <w:highlight w:val="none"/>
          <w:lang w:eastAsia="zh-CN"/>
        </w:rPr>
      </w:pPr>
      <w:r>
        <w:rPr>
          <w:rFonts w:hint="eastAsia" w:ascii="仿宋_GB2312" w:hAnsi="仿宋_GB2312" w:eastAsia="仿宋_GB2312" w:cs="仿宋_GB2312"/>
          <w:color w:val="auto"/>
          <w:szCs w:val="21"/>
          <w:highlight w:val="none"/>
        </w:rPr>
        <w:t>小型和微型企业的最后报价的</w:t>
      </w:r>
      <w:r>
        <w:rPr>
          <w:rFonts w:hint="eastAsia" w:ascii="仿宋" w:hAnsi="仿宋" w:eastAsia="仿宋" w:cs="仿宋_GB2312"/>
          <w:color w:val="auto"/>
          <w:kern w:val="0"/>
          <w:szCs w:val="21"/>
          <w:highlight w:val="none"/>
          <w:u w:val="single"/>
        </w:rPr>
        <w:t xml:space="preserve"> </w:t>
      </w:r>
      <w:r>
        <w:rPr>
          <w:rFonts w:hint="eastAsia" w:ascii="仿宋" w:hAnsi="仿宋" w:eastAsia="仿宋" w:cs="仿宋_GB2312"/>
          <w:color w:val="auto"/>
          <w:kern w:val="0"/>
          <w:szCs w:val="21"/>
          <w:highlight w:val="none"/>
          <w:u w:val="single"/>
          <w:lang w:val="en-US" w:eastAsia="zh-CN"/>
        </w:rPr>
        <w:t>/</w:t>
      </w:r>
      <w:r>
        <w:rPr>
          <w:rFonts w:hint="eastAsia" w:ascii="仿宋" w:hAnsi="仿宋" w:eastAsia="仿宋" w:cs="仿宋_GB2312"/>
          <w:color w:val="auto"/>
          <w:kern w:val="0"/>
          <w:szCs w:val="21"/>
          <w:highlight w:val="none"/>
          <w:u w:val="single"/>
        </w:rPr>
        <w:t xml:space="preserve"> </w:t>
      </w:r>
      <w:r>
        <w:rPr>
          <w:rFonts w:hint="eastAsia" w:ascii="仿宋" w:hAnsi="仿宋" w:eastAsia="仿宋" w:cs="仿宋_GB2312"/>
          <w:color w:val="auto"/>
          <w:kern w:val="0"/>
          <w:szCs w:val="21"/>
          <w:highlight w:val="none"/>
          <w:u w:val="single"/>
          <w:lang w:eastAsia="zh-CN"/>
        </w:rPr>
        <w:t>。</w:t>
      </w:r>
    </w:p>
    <w:p>
      <w:pPr>
        <w:adjustRightInd w:val="0"/>
        <w:snapToGrid w:val="0"/>
        <w:spacing w:line="360" w:lineRule="auto"/>
        <w:ind w:firstLine="210" w:firstLineChars="1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联合体投标</w:t>
      </w:r>
    </w:p>
    <w:p>
      <w:pPr>
        <w:adjustRightInd w:val="0"/>
        <w:snapToGri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hint="eastAsia" w:ascii="仿宋_GB2312" w:hAnsi="仿宋_GB2312" w:eastAsia="仿宋_GB2312" w:cs="仿宋_GB2312"/>
          <w:color w:val="auto"/>
          <w:kern w:val="0"/>
          <w:szCs w:val="21"/>
          <w:highlight w:val="none"/>
          <w:u w:val="single"/>
        </w:rPr>
        <w:t xml:space="preserve">   /   </w:t>
      </w:r>
      <w:r>
        <w:rPr>
          <w:rFonts w:hint="eastAsia" w:ascii="仿宋_GB2312" w:hAnsi="仿宋_GB2312" w:eastAsia="仿宋_GB2312" w:cs="仿宋_GB2312"/>
          <w:color w:val="auto"/>
          <w:szCs w:val="21"/>
          <w:highlight w:val="none"/>
        </w:rPr>
        <w:t>。</w:t>
      </w:r>
    </w:p>
    <w:p>
      <w:pPr>
        <w:adjustRightInd w:val="0"/>
        <w:snapToGri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pPr>
        <w:adjustRightInd w:val="0"/>
        <w:snapToGrid w:val="0"/>
        <w:spacing w:line="360" w:lineRule="auto"/>
        <w:ind w:firstLine="420"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hint="eastAsia" w:ascii="仿宋_GB2312" w:hAnsi="仿宋_GB2312" w:eastAsia="仿宋_GB2312" w:cs="仿宋_GB2312"/>
          <w:color w:val="auto"/>
          <w:kern w:val="0"/>
          <w:szCs w:val="21"/>
          <w:highlight w:val="none"/>
        </w:rPr>
        <w:t>用扣除后的价格参与评审</w:t>
      </w:r>
      <w:r>
        <w:rPr>
          <w:rFonts w:hint="eastAsia" w:ascii="仿宋_GB2312" w:hAnsi="仿宋_GB2312" w:eastAsia="仿宋_GB2312" w:cs="仿宋_GB2312"/>
          <w:color w:val="auto"/>
          <w:szCs w:val="21"/>
          <w:highlight w:val="none"/>
        </w:rPr>
        <w:t>。</w:t>
      </w:r>
    </w:p>
    <w:p>
      <w:pPr>
        <w:adjustRightInd w:val="0"/>
        <w:snapToGrid w:val="0"/>
        <w:spacing w:line="360" w:lineRule="auto"/>
        <w:ind w:firstLine="422" w:firstLineChars="200"/>
        <w:jc w:val="left"/>
        <w:rPr>
          <w:rFonts w:ascii="仿宋_GB2312" w:hAnsi="仿宋_GB2312" w:eastAsia="仿宋_GB2312" w:cs="仿宋_GB2312"/>
          <w:color w:val="auto"/>
          <w:szCs w:val="21"/>
          <w:highlight w:val="none"/>
        </w:rPr>
      </w:pPr>
      <w:r>
        <w:rPr>
          <w:rFonts w:hint="eastAsia" w:ascii="仿宋_GB2312" w:hAnsi="仿宋_GB2312" w:eastAsia="仿宋_GB2312" w:cs="仿宋_GB2312"/>
          <w:b/>
          <w:color w:val="auto"/>
          <w:kern w:val="0"/>
          <w:szCs w:val="21"/>
          <w:highlight w:val="none"/>
        </w:rPr>
        <w:t>7.1.3</w:t>
      </w:r>
      <w:r>
        <w:rPr>
          <w:rFonts w:hint="eastAsia" w:ascii="仿宋_GB2312" w:hAnsi="仿宋_GB2312" w:eastAsia="仿宋_GB2312" w:cs="仿宋_GB2312"/>
          <w:color w:val="auto"/>
          <w:szCs w:val="21"/>
          <w:highlight w:val="none"/>
        </w:rPr>
        <w:t>残疾人福利性单位视同小型、微型企业，在满足价格扣除条件且在</w:t>
      </w:r>
      <w:r>
        <w:rPr>
          <w:rFonts w:hint="eastAsia" w:ascii="仿宋_GB2312" w:hAnsi="仿宋_GB2312" w:eastAsia="仿宋_GB2312" w:cs="仿宋_GB2312"/>
          <w:color w:val="auto"/>
          <w:kern w:val="0"/>
          <w:szCs w:val="21"/>
          <w:highlight w:val="none"/>
        </w:rPr>
        <w:t>响应文件中提供了《残疾人福利性单位声明函》的，</w:t>
      </w:r>
      <w:r>
        <w:rPr>
          <w:rFonts w:hint="eastAsia" w:ascii="仿宋_GB2312" w:hAnsi="仿宋_GB2312" w:eastAsia="仿宋_GB2312" w:cs="仿宋_GB2312"/>
          <w:color w:val="auto"/>
          <w:szCs w:val="21"/>
          <w:highlight w:val="none"/>
        </w:rPr>
        <w:t>对其最后报价按本章5.1.1条款的比例予以扣除</w:t>
      </w:r>
      <w:r>
        <w:rPr>
          <w:rFonts w:hint="eastAsia" w:ascii="仿宋_GB2312" w:hAnsi="仿宋_GB2312" w:eastAsia="仿宋_GB2312" w:cs="仿宋_GB2312"/>
          <w:color w:val="auto"/>
          <w:kern w:val="0"/>
          <w:szCs w:val="21"/>
          <w:highlight w:val="none"/>
        </w:rPr>
        <w:t>，用扣除后的价格参与评审。</w:t>
      </w:r>
    </w:p>
    <w:p>
      <w:pPr>
        <w:adjustRightInd w:val="0"/>
        <w:snapToGrid w:val="0"/>
        <w:spacing w:line="360" w:lineRule="auto"/>
        <w:ind w:firstLine="422" w:firstLineChars="200"/>
        <w:rPr>
          <w:rFonts w:ascii="仿宋_GB2312" w:hAnsi="仿宋_GB2312" w:eastAsia="仿宋_GB2312" w:cs="仿宋_GB2312"/>
          <w:b/>
          <w:color w:val="auto"/>
          <w:szCs w:val="21"/>
          <w:highlight w:val="none"/>
        </w:rPr>
      </w:pPr>
      <w:r>
        <w:rPr>
          <w:rFonts w:hint="eastAsia" w:ascii="仿宋_GB2312" w:hAnsi="仿宋_GB2312" w:eastAsia="仿宋_GB2312" w:cs="仿宋_GB2312"/>
          <w:b/>
          <w:color w:val="auto"/>
          <w:szCs w:val="21"/>
          <w:highlight w:val="none"/>
        </w:rPr>
        <w:t>7.1.4残疾人福利性单位属于小型、微型企业的，不重复享受政策。</w:t>
      </w:r>
    </w:p>
    <w:p>
      <w:pPr>
        <w:adjustRightInd w:val="0"/>
        <w:snapToGrid w:val="0"/>
        <w:spacing w:line="360" w:lineRule="auto"/>
        <w:ind w:firstLine="422" w:firstLineChars="200"/>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kern w:val="0"/>
          <w:szCs w:val="21"/>
          <w:highlight w:val="none"/>
        </w:rPr>
        <w:t>7.2对于节能产品、环境标志产品的相关规定</w:t>
      </w:r>
    </w:p>
    <w:p>
      <w:pPr>
        <w:adjustRightInd w:val="0"/>
        <w:snapToGrid w:val="0"/>
        <w:spacing w:line="360" w:lineRule="auto"/>
        <w:ind w:firstLine="420" w:firstLineChars="2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1）节能产品或环境标志产品，依据品目清单和认证证书实施政府优先采购。供应商应能够提供国家确定的认证机构出具的、处于有效期之内的节能产品、环境标志产品认证证书，方可对获得证书的产品优先推荐。</w:t>
      </w:r>
    </w:p>
    <w:p>
      <w:pPr>
        <w:adjustRightInd w:val="0"/>
        <w:snapToGrid w:val="0"/>
        <w:spacing w:line="360" w:lineRule="auto"/>
        <w:ind w:firstLine="630" w:firstLineChars="300"/>
        <w:jc w:val="left"/>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评审时，对清单中产品给予相应的加分。（详见评分细则）</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（2）供应商应同时提供品目清单网络截图，并以明确标注所报产品信息和位置的方式，用以方便评审。</w:t>
      </w:r>
    </w:p>
    <w:p>
      <w:pPr>
        <w:adjustRightInd w:val="0"/>
        <w:snapToGrid w:val="0"/>
        <w:spacing w:line="360" w:lineRule="auto"/>
        <w:ind w:firstLine="420" w:firstLineChars="2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（3）认证机构和获证产品信息发布媒体：详见中国政府采购网（www.ccgp.gov.cn）建立的与认证结果信息发布平台的链接。</w:t>
      </w:r>
    </w:p>
    <w:p>
      <w:pPr>
        <w:adjustRightInd w:val="0"/>
        <w:spacing w:line="360" w:lineRule="auto"/>
        <w:ind w:firstLine="422" w:firstLineChars="200"/>
        <w:jc w:val="left"/>
        <w:rPr>
          <w:rFonts w:hint="eastAsia" w:ascii="仿宋_GB2312" w:hAnsi="仿宋_GB2312" w:eastAsia="仿宋_GB2312" w:cs="仿宋_GB2312"/>
          <w:b/>
          <w:bCs/>
          <w:color w:val="auto"/>
          <w:szCs w:val="21"/>
          <w:highlight w:val="none"/>
        </w:rPr>
      </w:pPr>
      <w:r>
        <w:rPr>
          <w:rFonts w:hint="eastAsia" w:ascii="仿宋_GB2312" w:hAnsi="仿宋_GB2312" w:eastAsia="仿宋_GB2312" w:cs="仿宋_GB2312"/>
          <w:b/>
          <w:bCs/>
          <w:color w:val="auto"/>
          <w:szCs w:val="21"/>
          <w:highlight w:val="none"/>
        </w:rPr>
        <w:t>7.3对于列入《辽宁省创新产品和服务目录》内的产品、服务的相关规定</w:t>
      </w:r>
    </w:p>
    <w:p>
      <w:pPr>
        <w:adjustRightInd w:val="0"/>
        <w:spacing w:line="360" w:lineRule="auto"/>
        <w:ind w:firstLine="420" w:firstLineChars="200"/>
        <w:jc w:val="left"/>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szCs w:val="21"/>
          <w:highlight w:val="none"/>
        </w:rPr>
        <w:t>对列入《辽宁省创新产品和服务目录》内的响应产品、服务给予其最后报价</w:t>
      </w:r>
      <w:r>
        <w:rPr>
          <w:rFonts w:hint="eastAsia" w:ascii="仿宋_GB2312" w:hAnsi="仿宋_GB2312" w:eastAsia="仿宋_GB2312" w:cs="仿宋_GB2312"/>
          <w:color w:val="auto"/>
          <w:szCs w:val="21"/>
          <w:highlight w:val="none"/>
          <w:u w:val="single"/>
        </w:rPr>
        <w:t xml:space="preserve">  / </w:t>
      </w:r>
      <w:r>
        <w:rPr>
          <w:rFonts w:hint="eastAsia" w:ascii="仿宋_GB2312" w:hAnsi="仿宋_GB2312" w:eastAsia="仿宋_GB2312" w:cs="仿宋_GB2312"/>
          <w:color w:val="auto"/>
          <w:szCs w:val="21"/>
          <w:highlight w:val="none"/>
        </w:rPr>
        <w:t>（6-8%）的价格扣除，用扣除后的价格参与评审。</w:t>
      </w:r>
    </w:p>
    <w:p>
      <w:pPr>
        <w:adjustRightInd w:val="0"/>
        <w:snapToGrid w:val="0"/>
        <w:spacing w:line="360" w:lineRule="auto"/>
        <w:ind w:firstLine="422" w:firstLineChars="200"/>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8、响应无效</w:t>
      </w:r>
    </w:p>
    <w:p>
      <w:pPr>
        <w:adjustRightInd w:val="0"/>
        <w:snapToGrid w:val="0"/>
        <w:spacing w:line="360" w:lineRule="auto"/>
        <w:ind w:firstLine="420" w:firstLineChars="200"/>
        <w:rPr>
          <w:rFonts w:hint="eastAsia"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详见供应商须知28条。</w:t>
      </w:r>
    </w:p>
    <w:p>
      <w:pPr>
        <w:adjustRightInd w:val="0"/>
        <w:snapToGrid w:val="0"/>
        <w:spacing w:line="360" w:lineRule="auto"/>
        <w:ind w:firstLine="422" w:firstLineChars="200"/>
        <w:rPr>
          <w:rFonts w:hint="eastAsia" w:ascii="仿宋_GB2312" w:hAnsi="仿宋_GB2312" w:eastAsia="仿宋_GB2312" w:cs="仿宋_GB2312"/>
          <w:b/>
          <w:bCs/>
          <w:color w:val="auto"/>
          <w:kern w:val="0"/>
          <w:szCs w:val="21"/>
          <w:highlight w:val="none"/>
        </w:rPr>
      </w:pPr>
      <w:r>
        <w:rPr>
          <w:rFonts w:hint="eastAsia" w:ascii="仿宋_GB2312" w:hAnsi="仿宋_GB2312" w:eastAsia="仿宋_GB2312" w:cs="仿宋_GB2312"/>
          <w:b/>
          <w:bCs/>
          <w:color w:val="auto"/>
          <w:kern w:val="0"/>
          <w:szCs w:val="21"/>
          <w:highlight w:val="none"/>
        </w:rPr>
        <w:t>★9 、推荐成交供应商的原则</w:t>
      </w:r>
    </w:p>
    <w:p>
      <w:pPr>
        <w:adjustRightInd w:val="0"/>
        <w:snapToGrid w:val="0"/>
        <w:spacing w:line="360" w:lineRule="auto"/>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详见第一章供应商须知第31条，具体处理办法如下：</w:t>
      </w:r>
    </w:p>
    <w:p>
      <w:pPr>
        <w:adjustRightInd w:val="0"/>
        <w:snapToGrid w:val="0"/>
        <w:spacing w:line="360" w:lineRule="auto"/>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得分相同的，按扣除后的最后报价由低到高顺序排序；</w:t>
      </w:r>
    </w:p>
    <w:p>
      <w:pPr>
        <w:adjustRightInd w:val="0"/>
        <w:snapToGrid w:val="0"/>
        <w:spacing w:line="360" w:lineRule="auto"/>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按前款不能区分的，按最后报价由低至高顺序排序；</w:t>
      </w:r>
    </w:p>
    <w:p>
      <w:pPr>
        <w:adjustRightInd w:val="0"/>
        <w:snapToGrid w:val="0"/>
        <w:spacing w:line="360" w:lineRule="auto"/>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按前款不能区分的，按技术指标优劣排序；</w:t>
      </w:r>
    </w:p>
    <w:p>
      <w:pPr>
        <w:adjustRightInd w:val="0"/>
        <w:snapToGrid w:val="0"/>
        <w:spacing w:line="360" w:lineRule="auto"/>
        <w:ind w:firstLine="420" w:firstLineChars="200"/>
        <w:rPr>
          <w:rFonts w:hint="eastAsia" w:ascii="仿宋_GB2312" w:hAnsi="仿宋_GB2312" w:eastAsia="仿宋_GB2312" w:cs="仿宋_GB2312"/>
          <w:bCs/>
          <w:color w:val="auto"/>
          <w:szCs w:val="21"/>
          <w:highlight w:val="none"/>
        </w:rPr>
      </w:pPr>
      <w:r>
        <w:rPr>
          <w:rFonts w:hint="eastAsia" w:ascii="仿宋_GB2312" w:hAnsi="仿宋_GB2312" w:eastAsia="仿宋_GB2312" w:cs="仿宋_GB2312"/>
          <w:bCs/>
          <w:color w:val="auto"/>
          <w:szCs w:val="21"/>
          <w:highlight w:val="none"/>
        </w:rPr>
        <w:t>其他情况，由磋商小组投票处理。</w:t>
      </w:r>
    </w:p>
    <w:p>
      <w:pPr>
        <w:adjustRightInd w:val="0"/>
        <w:snapToGrid w:val="0"/>
        <w:spacing w:line="360" w:lineRule="auto"/>
        <w:ind w:firstLine="422" w:firstLineChars="200"/>
        <w:rPr>
          <w:rFonts w:hint="eastAsia" w:ascii="仿宋_GB2312" w:hAnsi="仿宋_GB2312" w:eastAsia="仿宋_GB2312" w:cs="仿宋_GB2312"/>
          <w:b/>
          <w:color w:val="auto"/>
          <w:kern w:val="0"/>
          <w:szCs w:val="21"/>
          <w:highlight w:val="none"/>
        </w:rPr>
      </w:pPr>
      <w:r>
        <w:rPr>
          <w:rFonts w:hint="eastAsia" w:ascii="仿宋_GB2312" w:hAnsi="仿宋_GB2312" w:eastAsia="仿宋_GB2312" w:cs="仿宋_GB2312"/>
          <w:b/>
          <w:color w:val="auto"/>
          <w:szCs w:val="21"/>
          <w:highlight w:val="none"/>
        </w:rPr>
        <w:t>三、</w:t>
      </w:r>
      <w:r>
        <w:rPr>
          <w:rFonts w:hint="eastAsia" w:ascii="仿宋_GB2312" w:hAnsi="仿宋_GB2312" w:eastAsia="仿宋_GB2312" w:cs="仿宋_GB2312"/>
          <w:b/>
          <w:color w:val="auto"/>
          <w:kern w:val="0"/>
          <w:szCs w:val="21"/>
          <w:highlight w:val="none"/>
        </w:rPr>
        <w:t>确定成交供应商</w:t>
      </w:r>
    </w:p>
    <w:p>
      <w:pPr>
        <w:adjustRightInd w:val="0"/>
        <w:snapToGrid w:val="0"/>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磋商小组根据全体磋商小组成员签字的原始评审记录和评审结果编写评审报告，并向采购人提交书面评审报告。</w:t>
      </w:r>
    </w:p>
    <w:p>
      <w:pPr>
        <w:adjustRightInd w:val="0"/>
        <w:spacing w:line="360" w:lineRule="auto"/>
        <w:ind w:firstLine="420" w:firstLineChars="200"/>
        <w:rPr>
          <w:rFonts w:ascii="仿宋" w:hAnsi="仿宋" w:eastAsia="仿宋" w:cs="仿宋_GB2312"/>
          <w:color w:val="auto"/>
          <w:szCs w:val="21"/>
          <w:highlight w:val="none"/>
        </w:rPr>
      </w:pPr>
      <w:r>
        <w:rPr>
          <w:rFonts w:hint="eastAsia" w:ascii="仿宋_GB2312" w:hAnsi="仿宋_GB2312" w:eastAsia="仿宋_GB2312" w:cs="仿宋_GB2312"/>
          <w:color w:val="auto"/>
          <w:szCs w:val="21"/>
          <w:highlight w:val="none"/>
        </w:rPr>
        <w:t>采购人按照评审报告确定的成交候选供应商名单按顺序确定成交供应商，或由采购人委托磋商小组按照第一章 供应商须知表33条中规定的方式确定成交供应商。</w:t>
      </w:r>
    </w:p>
    <w:p>
      <w:pPr>
        <w:widowControl/>
        <w:jc w:val="left"/>
        <w:rPr>
          <w:rFonts w:hint="eastAsia" w:ascii="宋体" w:hAnsi="宋体" w:eastAsia="宋体" w:cs="宋体"/>
          <w:color w:val="auto"/>
          <w:kern w:val="0"/>
          <w:sz w:val="24"/>
          <w:highlight w:val="none"/>
        </w:rPr>
      </w:pPr>
      <w:r>
        <w:rPr>
          <w:rFonts w:hint="eastAsia" w:ascii="宋体" w:hAnsi="宋体" w:eastAsia="宋体" w:cs="宋体"/>
          <w:color w:val="auto"/>
          <w:highlight w:val="none"/>
        </w:rPr>
        <w:br w:type="page"/>
      </w:r>
    </w:p>
    <w:p>
      <w:pPr>
        <w:pStyle w:val="7"/>
        <w:adjustRightInd w:val="0"/>
        <w:snapToGrid w:val="0"/>
        <w:spacing w:before="0" w:after="0" w:line="240" w:lineRule="auto"/>
        <w:jc w:val="left"/>
        <w:rPr>
          <w:rFonts w:hint="eastAsia" w:ascii="宋体" w:hAnsi="宋体" w:eastAsia="宋体" w:cs="宋体"/>
          <w:color w:val="auto"/>
          <w:sz w:val="28"/>
          <w:szCs w:val="28"/>
          <w:highlight w:val="none"/>
        </w:rPr>
      </w:pPr>
      <w:bookmarkStart w:id="199" w:name="_Toc4485646"/>
      <w:bookmarkStart w:id="200" w:name="_Toc533340170"/>
      <w:r>
        <w:rPr>
          <w:rFonts w:hint="eastAsia" w:ascii="宋体" w:hAnsi="宋体" w:eastAsia="宋体" w:cs="宋体"/>
          <w:color w:val="auto"/>
          <w:sz w:val="28"/>
          <w:szCs w:val="28"/>
          <w:highlight w:val="none"/>
        </w:rPr>
        <w:t>附件1</w:t>
      </w:r>
      <w:bookmarkEnd w:id="199"/>
      <w:bookmarkEnd w:id="200"/>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资格审查表</w:t>
      </w:r>
    </w:p>
    <w:tbl>
      <w:tblPr>
        <w:tblStyle w:val="40"/>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788"/>
        <w:gridCol w:w="1984"/>
        <w:gridCol w:w="709"/>
        <w:gridCol w:w="709"/>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715" w:type="dxa"/>
            <w:vMerge w:val="restart"/>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highlight w:val="none"/>
              </w:rPr>
            </w:pPr>
            <w:bookmarkStart w:id="201" w:name="_Toc4485647"/>
            <w:bookmarkStart w:id="202" w:name="_Toc533340171"/>
            <w:r>
              <w:rPr>
                <w:rFonts w:hint="eastAsia" w:ascii="宋体" w:hAnsi="宋体" w:eastAsia="宋体" w:cs="宋体"/>
                <w:color w:val="auto"/>
                <w:highlight w:val="none"/>
              </w:rPr>
              <w:t>序号</w:t>
            </w:r>
          </w:p>
        </w:tc>
        <w:tc>
          <w:tcPr>
            <w:tcW w:w="3788" w:type="dxa"/>
            <w:vMerge w:val="restart"/>
            <w:noWrap w:val="0"/>
            <w:vAlign w:val="center"/>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审查项目</w:t>
            </w:r>
            <w:bookmarkEnd w:id="201"/>
            <w:bookmarkEnd w:id="202"/>
          </w:p>
        </w:tc>
        <w:tc>
          <w:tcPr>
            <w:tcW w:w="1984" w:type="dxa"/>
            <w:vMerge w:val="restart"/>
            <w:noWrap w:val="0"/>
            <w:vAlign w:val="center"/>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bookmarkStart w:id="203" w:name="_Toc533340172"/>
            <w:bookmarkStart w:id="204" w:name="_Toc4485648"/>
            <w:r>
              <w:rPr>
                <w:rFonts w:hint="eastAsia" w:ascii="宋体" w:hAnsi="宋体" w:eastAsia="宋体" w:cs="宋体"/>
                <w:b w:val="0"/>
                <w:color w:val="auto"/>
                <w:sz w:val="21"/>
                <w:szCs w:val="21"/>
                <w:highlight w:val="none"/>
                <w:lang w:val="en-US" w:eastAsia="zh-CN"/>
              </w:rPr>
              <w:t>审查标准</w:t>
            </w:r>
            <w:bookmarkEnd w:id="203"/>
            <w:bookmarkEnd w:id="204"/>
          </w:p>
        </w:tc>
        <w:tc>
          <w:tcPr>
            <w:tcW w:w="1991" w:type="dxa"/>
            <w:gridSpan w:val="3"/>
            <w:noWrap w:val="0"/>
            <w:vAlign w:val="center"/>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bookmarkStart w:id="205" w:name="_Toc4485649"/>
            <w:bookmarkStart w:id="206" w:name="_Toc533340173"/>
            <w:r>
              <w:rPr>
                <w:rFonts w:hint="eastAsia" w:ascii="宋体" w:hAnsi="宋体" w:eastAsia="宋体" w:cs="宋体"/>
                <w:b w:val="0"/>
                <w:color w:val="auto"/>
                <w:sz w:val="21"/>
                <w:szCs w:val="21"/>
                <w:highlight w:val="none"/>
                <w:lang w:val="en-US" w:eastAsia="zh-CN"/>
              </w:rPr>
              <w:t>供应商名称</w:t>
            </w:r>
            <w:bookmarkEnd w:id="205"/>
            <w:bookmarkEnd w:id="20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15" w:type="dxa"/>
            <w:vMerge w:val="continue"/>
            <w:noWrap w:val="0"/>
            <w:vAlign w:val="center"/>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3788" w:type="dxa"/>
            <w:vMerge w:val="continue"/>
            <w:noWrap w:val="0"/>
            <w:vAlign w:val="center"/>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1984" w:type="dxa"/>
            <w:vMerge w:val="continue"/>
            <w:noWrap w:val="0"/>
            <w:vAlign w:val="center"/>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709" w:type="dxa"/>
            <w:noWrap w:val="0"/>
            <w:vAlign w:val="center"/>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709" w:type="dxa"/>
            <w:noWrap w:val="0"/>
            <w:vAlign w:val="center"/>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573" w:type="dxa"/>
            <w:noWrap w:val="0"/>
            <w:vAlign w:val="center"/>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15"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788"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highlight w:val="none"/>
              </w:rPr>
              <w:t>营业执照或事业单位法人证书或执业许可证等证明文件或自然人的身份证明</w:t>
            </w:r>
          </w:p>
        </w:tc>
        <w:tc>
          <w:tcPr>
            <w:tcW w:w="1984" w:type="dxa"/>
            <w:noWrap w:val="0"/>
            <w:vAlign w:val="center"/>
          </w:tcPr>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bookmarkStart w:id="207" w:name="_Toc533340174"/>
            <w:bookmarkStart w:id="208" w:name="_Toc4485650"/>
            <w:r>
              <w:rPr>
                <w:rFonts w:hint="eastAsia" w:ascii="宋体" w:hAnsi="宋体" w:eastAsia="宋体" w:cs="宋体"/>
                <w:b w:val="0"/>
                <w:color w:val="auto"/>
                <w:sz w:val="21"/>
                <w:szCs w:val="21"/>
                <w:highlight w:val="none"/>
                <w:lang w:val="en-US" w:eastAsia="zh-CN"/>
              </w:rPr>
              <w:t>1.按要求提供</w:t>
            </w:r>
            <w:bookmarkEnd w:id="207"/>
            <w:bookmarkEnd w:id="208"/>
          </w:p>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bookmarkStart w:id="209" w:name="_Toc4485651"/>
            <w:bookmarkStart w:id="210" w:name="_Toc533340175"/>
            <w:r>
              <w:rPr>
                <w:rFonts w:hint="eastAsia" w:ascii="宋体" w:hAnsi="宋体" w:eastAsia="宋体" w:cs="宋体"/>
                <w:b w:val="0"/>
                <w:color w:val="auto"/>
                <w:sz w:val="21"/>
                <w:szCs w:val="21"/>
                <w:highlight w:val="none"/>
                <w:lang w:val="en-US" w:eastAsia="zh-CN"/>
              </w:rPr>
              <w:t>2.合法有效</w:t>
            </w:r>
            <w:bookmarkEnd w:id="209"/>
            <w:bookmarkEnd w:id="210"/>
          </w:p>
        </w:tc>
        <w:tc>
          <w:tcPr>
            <w:tcW w:w="709" w:type="dxa"/>
            <w:noWrap w:val="0"/>
            <w:vAlign w:val="center"/>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709" w:type="dxa"/>
            <w:noWrap w:val="0"/>
            <w:vAlign w:val="center"/>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573" w:type="dxa"/>
            <w:noWrap w:val="0"/>
            <w:vAlign w:val="center"/>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15" w:type="dxa"/>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3788" w:type="dxa"/>
            <w:noWrap w:val="0"/>
            <w:vAlign w:val="center"/>
          </w:tcPr>
          <w:p>
            <w:pPr>
              <w:keepNext w:val="0"/>
              <w:keepLines w:val="0"/>
              <w:widowControl/>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highlight w:val="none"/>
              </w:rPr>
              <w:t>组织机构代码证</w:t>
            </w:r>
          </w:p>
        </w:tc>
        <w:tc>
          <w:tcPr>
            <w:tcW w:w="1984" w:type="dxa"/>
            <w:noWrap w:val="0"/>
            <w:vAlign w:val="center"/>
          </w:tcPr>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bookmarkStart w:id="211" w:name="_Toc4485652"/>
            <w:bookmarkStart w:id="212" w:name="_Toc533340176"/>
            <w:r>
              <w:rPr>
                <w:rFonts w:hint="eastAsia" w:ascii="宋体" w:hAnsi="宋体" w:eastAsia="宋体" w:cs="宋体"/>
                <w:b w:val="0"/>
                <w:color w:val="auto"/>
                <w:sz w:val="21"/>
                <w:szCs w:val="21"/>
                <w:highlight w:val="none"/>
                <w:lang w:val="en-US" w:eastAsia="zh-CN"/>
              </w:rPr>
              <w:t>1.按要求提供</w:t>
            </w:r>
            <w:bookmarkEnd w:id="211"/>
            <w:bookmarkEnd w:id="212"/>
          </w:p>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bookmarkStart w:id="213" w:name="_Toc533340177"/>
            <w:bookmarkStart w:id="214" w:name="_Toc4485653"/>
            <w:r>
              <w:rPr>
                <w:rFonts w:hint="eastAsia" w:ascii="宋体" w:hAnsi="宋体" w:eastAsia="宋体" w:cs="宋体"/>
                <w:b w:val="0"/>
                <w:color w:val="auto"/>
                <w:sz w:val="21"/>
                <w:szCs w:val="21"/>
                <w:highlight w:val="none"/>
                <w:lang w:val="en-US" w:eastAsia="zh-CN"/>
              </w:rPr>
              <w:t>2.合法有效</w:t>
            </w:r>
            <w:bookmarkEnd w:id="213"/>
            <w:bookmarkEnd w:id="214"/>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573"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788" w:type="dxa"/>
            <w:noWrap w:val="0"/>
            <w:vAlign w:val="center"/>
          </w:tcPr>
          <w:p>
            <w:pPr>
              <w:keepNext w:val="0"/>
              <w:keepLines w:val="0"/>
              <w:widowControl/>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highlight w:val="none"/>
              </w:rPr>
              <w:t>税务登记证</w:t>
            </w:r>
          </w:p>
        </w:tc>
        <w:tc>
          <w:tcPr>
            <w:tcW w:w="1984" w:type="dxa"/>
            <w:noWrap w:val="0"/>
            <w:vAlign w:val="center"/>
          </w:tcPr>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bookmarkStart w:id="215" w:name="_Toc533340178"/>
            <w:bookmarkStart w:id="216" w:name="_Toc4485654"/>
            <w:r>
              <w:rPr>
                <w:rFonts w:hint="eastAsia" w:ascii="宋体" w:hAnsi="宋体" w:eastAsia="宋体" w:cs="宋体"/>
                <w:b w:val="0"/>
                <w:color w:val="auto"/>
                <w:sz w:val="21"/>
                <w:szCs w:val="21"/>
                <w:highlight w:val="none"/>
                <w:lang w:val="en-US" w:eastAsia="zh-CN"/>
              </w:rPr>
              <w:t>1.按要求提供</w:t>
            </w:r>
            <w:bookmarkEnd w:id="215"/>
            <w:bookmarkEnd w:id="216"/>
          </w:p>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bookmarkStart w:id="217" w:name="_Toc533340179"/>
            <w:bookmarkStart w:id="218" w:name="_Toc4485655"/>
            <w:r>
              <w:rPr>
                <w:rFonts w:hint="eastAsia" w:ascii="宋体" w:hAnsi="宋体" w:eastAsia="宋体" w:cs="宋体"/>
                <w:b w:val="0"/>
                <w:color w:val="auto"/>
                <w:sz w:val="21"/>
                <w:szCs w:val="21"/>
                <w:highlight w:val="none"/>
                <w:lang w:val="en-US" w:eastAsia="zh-CN"/>
              </w:rPr>
              <w:t>2.合法有效</w:t>
            </w:r>
            <w:bookmarkEnd w:id="217"/>
            <w:bookmarkEnd w:id="218"/>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573"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788" w:type="dxa"/>
            <w:noWrap w:val="0"/>
            <w:vAlign w:val="center"/>
          </w:tcPr>
          <w:p>
            <w:pPr>
              <w:keepNext w:val="0"/>
              <w:keepLines w:val="0"/>
              <w:widowControl/>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法定代表人（或非法人组织负责人）身份证明书</w:t>
            </w:r>
          </w:p>
        </w:tc>
        <w:tc>
          <w:tcPr>
            <w:tcW w:w="1984" w:type="dxa"/>
            <w:noWrap w:val="0"/>
            <w:vAlign w:val="center"/>
          </w:tcPr>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bookmarkStart w:id="219" w:name="_Toc4485656"/>
            <w:bookmarkStart w:id="220" w:name="_Toc533340180"/>
            <w:r>
              <w:rPr>
                <w:rFonts w:hint="eastAsia" w:ascii="宋体" w:hAnsi="宋体" w:eastAsia="宋体" w:cs="宋体"/>
                <w:b w:val="0"/>
                <w:color w:val="auto"/>
                <w:sz w:val="21"/>
                <w:szCs w:val="21"/>
                <w:highlight w:val="none"/>
                <w:lang w:val="en-US" w:eastAsia="zh-CN"/>
              </w:rPr>
              <w:t>1.按给定格式填写</w:t>
            </w:r>
            <w:bookmarkEnd w:id="219"/>
            <w:bookmarkEnd w:id="220"/>
          </w:p>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bookmarkStart w:id="221" w:name="_Toc533340181"/>
            <w:bookmarkStart w:id="222" w:name="_Toc4485657"/>
            <w:r>
              <w:rPr>
                <w:rFonts w:hint="eastAsia" w:ascii="宋体" w:hAnsi="宋体" w:eastAsia="宋体" w:cs="宋体"/>
                <w:b w:val="0"/>
                <w:color w:val="auto"/>
                <w:sz w:val="21"/>
                <w:szCs w:val="21"/>
                <w:highlight w:val="none"/>
                <w:lang w:val="en-US" w:eastAsia="zh-CN"/>
              </w:rPr>
              <w:t>2.按规定签章</w:t>
            </w:r>
            <w:bookmarkEnd w:id="221"/>
            <w:bookmarkEnd w:id="222"/>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573"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3788" w:type="dxa"/>
            <w:noWrap w:val="0"/>
            <w:vAlign w:val="center"/>
          </w:tcPr>
          <w:p>
            <w:pPr>
              <w:keepNext w:val="0"/>
              <w:keepLines w:val="0"/>
              <w:widowControl/>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highlight w:val="none"/>
              </w:rPr>
              <w:t>法定代表人（或非法人组织</w:t>
            </w:r>
            <w:r>
              <w:rPr>
                <w:rFonts w:hint="eastAsia" w:ascii="宋体" w:hAnsi="宋体" w:eastAsia="宋体" w:cs="宋体"/>
                <w:color w:val="auto"/>
                <w:szCs w:val="21"/>
                <w:highlight w:val="none"/>
              </w:rPr>
              <w:t>负责人）</w:t>
            </w:r>
            <w:r>
              <w:rPr>
                <w:rFonts w:hint="eastAsia" w:ascii="宋体" w:hAnsi="宋体" w:eastAsia="宋体" w:cs="宋体"/>
                <w:color w:val="auto"/>
                <w:highlight w:val="none"/>
              </w:rPr>
              <w:t>授权委托书</w:t>
            </w:r>
            <w:r>
              <w:rPr>
                <w:rFonts w:hint="eastAsia" w:ascii="宋体" w:hAnsi="宋体" w:eastAsia="宋体" w:cs="宋体"/>
                <w:color w:val="auto"/>
                <w:szCs w:val="21"/>
                <w:highlight w:val="none"/>
              </w:rPr>
              <w:t>（如适用）</w:t>
            </w:r>
          </w:p>
        </w:tc>
        <w:tc>
          <w:tcPr>
            <w:tcW w:w="1984" w:type="dxa"/>
            <w:noWrap w:val="0"/>
            <w:vAlign w:val="center"/>
          </w:tcPr>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bookmarkStart w:id="223" w:name="_Toc533340182"/>
            <w:bookmarkStart w:id="224" w:name="_Toc4485658"/>
            <w:r>
              <w:rPr>
                <w:rFonts w:hint="eastAsia" w:ascii="宋体" w:hAnsi="宋体" w:eastAsia="宋体" w:cs="宋体"/>
                <w:b w:val="0"/>
                <w:color w:val="auto"/>
                <w:sz w:val="21"/>
                <w:szCs w:val="21"/>
                <w:highlight w:val="none"/>
                <w:lang w:val="en-US" w:eastAsia="zh-CN"/>
              </w:rPr>
              <w:t>1.按给定格式填写</w:t>
            </w:r>
            <w:bookmarkEnd w:id="223"/>
            <w:bookmarkEnd w:id="224"/>
          </w:p>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bookmarkStart w:id="225" w:name="_Toc533340183"/>
            <w:bookmarkStart w:id="226" w:name="_Toc4485659"/>
            <w:r>
              <w:rPr>
                <w:rFonts w:hint="eastAsia" w:ascii="宋体" w:hAnsi="宋体" w:eastAsia="宋体" w:cs="宋体"/>
                <w:b w:val="0"/>
                <w:color w:val="auto"/>
                <w:sz w:val="21"/>
                <w:szCs w:val="21"/>
                <w:highlight w:val="none"/>
                <w:lang w:val="en-US" w:eastAsia="zh-CN"/>
              </w:rPr>
              <w:t>2.按规定签章</w:t>
            </w:r>
            <w:bookmarkEnd w:id="225"/>
            <w:bookmarkEnd w:id="226"/>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573"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715" w:type="dxa"/>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3788" w:type="dxa"/>
            <w:noWrap w:val="0"/>
            <w:vAlign w:val="center"/>
          </w:tcPr>
          <w:p>
            <w:pPr>
              <w:keepNext w:val="0"/>
              <w:keepLines w:val="0"/>
              <w:widowControl/>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highlight w:val="none"/>
              </w:rPr>
              <w:t>具有良好的商业信誉和健全的财务会计制度的承诺函</w:t>
            </w:r>
          </w:p>
        </w:tc>
        <w:tc>
          <w:tcPr>
            <w:tcW w:w="1984" w:type="dxa"/>
            <w:noWrap w:val="0"/>
            <w:vAlign w:val="center"/>
          </w:tcPr>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1.信息完整</w:t>
            </w:r>
          </w:p>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2.按规定签章</w:t>
            </w:r>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573"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3788"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highlight w:val="none"/>
              </w:rPr>
              <w:t>磋商会议前六个月内任一个月的依法缴纳税收的缴款凭据</w:t>
            </w:r>
          </w:p>
        </w:tc>
        <w:tc>
          <w:tcPr>
            <w:tcW w:w="1984" w:type="dxa"/>
            <w:noWrap w:val="0"/>
            <w:vAlign w:val="center"/>
          </w:tcPr>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bookmarkStart w:id="227" w:name="_Toc533340186"/>
            <w:bookmarkStart w:id="228" w:name="_Toc4485662"/>
            <w:r>
              <w:rPr>
                <w:rFonts w:hint="eastAsia" w:ascii="宋体" w:hAnsi="宋体" w:eastAsia="宋体" w:cs="宋体"/>
                <w:b w:val="0"/>
                <w:color w:val="auto"/>
                <w:sz w:val="21"/>
                <w:szCs w:val="21"/>
                <w:highlight w:val="none"/>
                <w:lang w:val="en-US" w:eastAsia="zh-CN"/>
              </w:rPr>
              <w:t>1.按要求提供</w:t>
            </w:r>
            <w:bookmarkEnd w:id="227"/>
            <w:bookmarkEnd w:id="228"/>
          </w:p>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bookmarkStart w:id="229" w:name="_Toc533340187"/>
            <w:bookmarkStart w:id="230" w:name="_Toc4485663"/>
            <w:r>
              <w:rPr>
                <w:rFonts w:hint="eastAsia" w:ascii="宋体" w:hAnsi="宋体" w:eastAsia="宋体" w:cs="宋体"/>
                <w:b w:val="0"/>
                <w:color w:val="auto"/>
                <w:sz w:val="21"/>
                <w:szCs w:val="21"/>
                <w:highlight w:val="none"/>
                <w:lang w:val="en-US" w:eastAsia="zh-CN"/>
              </w:rPr>
              <w:t>2.合法有效</w:t>
            </w:r>
            <w:bookmarkEnd w:id="229"/>
            <w:bookmarkEnd w:id="230"/>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573"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15"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3788"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highlight w:val="none"/>
              </w:rPr>
              <w:t>磋商会议前六个月内任一个月的依法缴纳社会保障资金的缴款凭据</w:t>
            </w:r>
          </w:p>
        </w:tc>
        <w:tc>
          <w:tcPr>
            <w:tcW w:w="1984" w:type="dxa"/>
            <w:noWrap w:val="0"/>
            <w:vAlign w:val="center"/>
          </w:tcPr>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bookmarkStart w:id="231" w:name="_Toc533340188"/>
            <w:bookmarkStart w:id="232" w:name="_Toc4485664"/>
            <w:r>
              <w:rPr>
                <w:rFonts w:hint="eastAsia" w:ascii="宋体" w:hAnsi="宋体" w:eastAsia="宋体" w:cs="宋体"/>
                <w:b w:val="0"/>
                <w:color w:val="auto"/>
                <w:sz w:val="21"/>
                <w:szCs w:val="21"/>
                <w:highlight w:val="none"/>
                <w:lang w:val="en-US" w:eastAsia="zh-CN"/>
              </w:rPr>
              <w:t>1.按要求提供</w:t>
            </w:r>
            <w:bookmarkEnd w:id="231"/>
            <w:bookmarkEnd w:id="232"/>
          </w:p>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bookmarkStart w:id="233" w:name="_Toc4485665"/>
            <w:bookmarkStart w:id="234" w:name="_Toc533340189"/>
            <w:r>
              <w:rPr>
                <w:rFonts w:hint="eastAsia" w:ascii="宋体" w:hAnsi="宋体" w:eastAsia="宋体" w:cs="宋体"/>
                <w:b w:val="0"/>
                <w:color w:val="auto"/>
                <w:sz w:val="21"/>
                <w:szCs w:val="21"/>
                <w:highlight w:val="none"/>
                <w:lang w:val="en-US" w:eastAsia="zh-CN"/>
              </w:rPr>
              <w:t>2.合法有效</w:t>
            </w:r>
            <w:bookmarkEnd w:id="233"/>
            <w:bookmarkEnd w:id="234"/>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573"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15"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3788"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highlight w:val="none"/>
              </w:rPr>
              <w:t>具备履行合同所必需的设备和专业技术能力声明函</w:t>
            </w:r>
          </w:p>
        </w:tc>
        <w:tc>
          <w:tcPr>
            <w:tcW w:w="1984" w:type="dxa"/>
            <w:noWrap w:val="0"/>
            <w:vAlign w:val="center"/>
          </w:tcPr>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bookmarkStart w:id="235" w:name="_Toc4485666"/>
            <w:bookmarkStart w:id="236" w:name="_Toc533340190"/>
            <w:r>
              <w:rPr>
                <w:rFonts w:hint="eastAsia" w:ascii="宋体" w:hAnsi="宋体" w:eastAsia="宋体" w:cs="宋体"/>
                <w:b w:val="0"/>
                <w:color w:val="auto"/>
                <w:sz w:val="21"/>
                <w:szCs w:val="21"/>
                <w:highlight w:val="none"/>
                <w:lang w:val="en-US" w:eastAsia="zh-CN"/>
              </w:rPr>
              <w:t>1.信息完整</w:t>
            </w:r>
            <w:bookmarkEnd w:id="235"/>
            <w:bookmarkEnd w:id="236"/>
          </w:p>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bookmarkStart w:id="237" w:name="_Toc4485667"/>
            <w:bookmarkStart w:id="238" w:name="_Toc533340191"/>
            <w:r>
              <w:rPr>
                <w:rFonts w:hint="eastAsia" w:ascii="宋体" w:hAnsi="宋体" w:eastAsia="宋体" w:cs="宋体"/>
                <w:b w:val="0"/>
                <w:color w:val="auto"/>
                <w:sz w:val="21"/>
                <w:szCs w:val="21"/>
                <w:highlight w:val="none"/>
                <w:lang w:val="en-US" w:eastAsia="zh-CN"/>
              </w:rPr>
              <w:t>2.按规定签章</w:t>
            </w:r>
            <w:bookmarkEnd w:id="237"/>
            <w:bookmarkEnd w:id="238"/>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573"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5"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3788"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Cs w:val="21"/>
                <w:highlight w:val="none"/>
              </w:rPr>
              <w:t>参加政府采购活动前3年内在经营活动中没有重大违法记录的书面声明</w:t>
            </w:r>
          </w:p>
        </w:tc>
        <w:tc>
          <w:tcPr>
            <w:tcW w:w="1984" w:type="dxa"/>
            <w:noWrap w:val="0"/>
            <w:vAlign w:val="center"/>
          </w:tcPr>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bookmarkStart w:id="239" w:name="_Toc4485668"/>
            <w:bookmarkStart w:id="240" w:name="_Toc533340192"/>
            <w:r>
              <w:rPr>
                <w:rFonts w:hint="eastAsia" w:ascii="宋体" w:hAnsi="宋体" w:eastAsia="宋体" w:cs="宋体"/>
                <w:b w:val="0"/>
                <w:color w:val="auto"/>
                <w:sz w:val="21"/>
                <w:szCs w:val="21"/>
                <w:highlight w:val="none"/>
                <w:lang w:val="en-US" w:eastAsia="zh-CN"/>
              </w:rPr>
              <w:t>1.按给定格式填写</w:t>
            </w:r>
            <w:bookmarkEnd w:id="239"/>
            <w:bookmarkEnd w:id="240"/>
          </w:p>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bookmarkStart w:id="241" w:name="_Toc4485669"/>
            <w:bookmarkStart w:id="242" w:name="_Toc533340193"/>
            <w:r>
              <w:rPr>
                <w:rFonts w:hint="eastAsia" w:ascii="宋体" w:hAnsi="宋体" w:eastAsia="宋体" w:cs="宋体"/>
                <w:b w:val="0"/>
                <w:color w:val="auto"/>
                <w:sz w:val="21"/>
                <w:szCs w:val="21"/>
                <w:highlight w:val="none"/>
                <w:lang w:val="en-US" w:eastAsia="zh-CN"/>
              </w:rPr>
              <w:t>2.按规定签章</w:t>
            </w:r>
            <w:bookmarkEnd w:id="241"/>
            <w:bookmarkEnd w:id="242"/>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573"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15"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3788" w:type="dxa"/>
            <w:noWrap w:val="0"/>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其它资格证明文件：</w:t>
            </w:r>
          </w:p>
          <w:p>
            <w:pPr>
              <w:keepNext w:val="0"/>
              <w:keepLines w:val="0"/>
              <w:suppressLineNumbers w:val="0"/>
              <w:adjustRightInd w:val="0"/>
              <w:snapToGrid w:val="0"/>
              <w:spacing w:before="0" w:beforeAutospacing="0" w:after="0" w:afterAutospacing="0"/>
              <w:ind w:left="0" w:right="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1、投标人在中国境内注册，投标单位须具有市政公用工程施工总承包三级（含）以上或城市及道路照明专业承包三级（含）以上资质，具备有效的安全生产许可证，</w:t>
            </w:r>
          </w:p>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2、拟投入本项目的项目负责人须具备与本项目相关专业国家注册建造师贰级及以上资格证书，具备有效期内的安全生产考核证、无在建工程承诺书；</w:t>
            </w:r>
          </w:p>
        </w:tc>
        <w:tc>
          <w:tcPr>
            <w:tcW w:w="1984" w:type="dxa"/>
            <w:noWrap w:val="0"/>
            <w:vAlign w:val="center"/>
          </w:tcPr>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bookmarkStart w:id="243" w:name="_Toc533340194"/>
            <w:bookmarkStart w:id="244" w:name="_Toc4485670"/>
            <w:r>
              <w:rPr>
                <w:rFonts w:hint="eastAsia" w:ascii="宋体" w:hAnsi="宋体" w:eastAsia="宋体" w:cs="宋体"/>
                <w:b w:val="0"/>
                <w:color w:val="auto"/>
                <w:sz w:val="21"/>
                <w:szCs w:val="21"/>
                <w:highlight w:val="none"/>
                <w:lang w:val="en-US" w:eastAsia="zh-CN"/>
              </w:rPr>
              <w:t>1.按要求提供</w:t>
            </w:r>
            <w:bookmarkEnd w:id="243"/>
            <w:bookmarkEnd w:id="244"/>
          </w:p>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bookmarkStart w:id="245" w:name="_Toc533340195"/>
            <w:bookmarkStart w:id="246" w:name="_Toc4485671"/>
            <w:r>
              <w:rPr>
                <w:rFonts w:hint="eastAsia" w:ascii="宋体" w:hAnsi="宋体" w:eastAsia="宋体" w:cs="宋体"/>
                <w:b w:val="0"/>
                <w:color w:val="auto"/>
                <w:sz w:val="21"/>
                <w:szCs w:val="21"/>
                <w:highlight w:val="none"/>
                <w:lang w:val="en-US" w:eastAsia="zh-CN"/>
              </w:rPr>
              <w:t>2.合法有效</w:t>
            </w:r>
            <w:bookmarkEnd w:id="245"/>
            <w:bookmarkEnd w:id="246"/>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573"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15"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2</w:t>
            </w:r>
          </w:p>
        </w:tc>
        <w:tc>
          <w:tcPr>
            <w:tcW w:w="3788" w:type="dxa"/>
            <w:noWrap w:val="0"/>
            <w:vAlign w:val="center"/>
          </w:tcPr>
          <w:p>
            <w:pPr>
              <w:keepNext w:val="0"/>
              <w:keepLines w:val="0"/>
              <w:suppressLineNumbers w:val="0"/>
              <w:snapToGrid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highlight w:val="none"/>
              </w:rPr>
              <w:t>信用记录（</w:t>
            </w:r>
            <w:r>
              <w:rPr>
                <w:rFonts w:hint="eastAsia" w:ascii="宋体" w:hAnsi="宋体" w:eastAsia="宋体" w:cs="宋体"/>
                <w:color w:val="auto"/>
                <w:szCs w:val="21"/>
                <w:highlight w:val="none"/>
              </w:rPr>
              <w:t>供应商按采购文件要求自行查询，并将截图附在响应文件中</w:t>
            </w:r>
            <w:r>
              <w:rPr>
                <w:rFonts w:hint="eastAsia" w:ascii="宋体" w:hAnsi="宋体" w:eastAsia="宋体" w:cs="宋体"/>
                <w:color w:val="auto"/>
                <w:highlight w:val="none"/>
              </w:rPr>
              <w:t>）</w:t>
            </w:r>
          </w:p>
        </w:tc>
        <w:tc>
          <w:tcPr>
            <w:tcW w:w="1984" w:type="dxa"/>
            <w:noWrap w:val="0"/>
            <w:vAlign w:val="center"/>
          </w:tcPr>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bookmarkStart w:id="247" w:name="_Toc4485674"/>
            <w:bookmarkStart w:id="248" w:name="_Toc533340198"/>
            <w:r>
              <w:rPr>
                <w:rFonts w:hint="eastAsia" w:ascii="宋体" w:hAnsi="宋体" w:eastAsia="宋体" w:cs="宋体"/>
                <w:b w:val="0"/>
                <w:color w:val="auto"/>
                <w:sz w:val="21"/>
                <w:szCs w:val="21"/>
                <w:highlight w:val="none"/>
                <w:lang w:val="en-US" w:eastAsia="zh-CN"/>
              </w:rPr>
              <w:t>无供应商须知</w:t>
            </w:r>
          </w:p>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22.2.1所述的不良记录</w:t>
            </w:r>
            <w:bookmarkEnd w:id="247"/>
            <w:bookmarkEnd w:id="248"/>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c>
          <w:tcPr>
            <w:tcW w:w="573"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b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15" w:type="dxa"/>
            <w:noWrap w:val="0"/>
            <w:vAlign w:val="center"/>
          </w:tcPr>
          <w:p>
            <w:pPr>
              <w:keepNext w:val="0"/>
              <w:keepLines w:val="0"/>
              <w:suppressLineNumbers w:val="0"/>
              <w:snapToGrid w:val="0"/>
              <w:spacing w:before="0" w:beforeAutospacing="0" w:after="0" w:afterAutospacing="0"/>
              <w:ind w:left="0" w:right="0"/>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13</w:t>
            </w:r>
          </w:p>
        </w:tc>
        <w:tc>
          <w:tcPr>
            <w:tcW w:w="3788" w:type="dxa"/>
            <w:noWrap w:val="0"/>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color w:val="auto"/>
                <w:highlight w:val="none"/>
              </w:rPr>
            </w:pPr>
            <w:r>
              <w:rPr>
                <w:rFonts w:hint="eastAsia" w:ascii="宋体" w:hAnsi="宋体" w:eastAsia="宋体" w:cs="宋体"/>
                <w:color w:val="auto"/>
                <w:kern w:val="0"/>
                <w:szCs w:val="21"/>
                <w:highlight w:val="none"/>
              </w:rPr>
              <w:t>中小企业声明函</w:t>
            </w:r>
          </w:p>
        </w:tc>
        <w:tc>
          <w:tcPr>
            <w:tcW w:w="1984" w:type="dxa"/>
            <w:noWrap w:val="0"/>
            <w:vAlign w:val="top"/>
          </w:tcPr>
          <w:p>
            <w:pPr>
              <w:pStyle w:val="7"/>
              <w:suppressLineNumbers w:val="0"/>
              <w:adjustRightInd w:val="0"/>
              <w:snapToGrid w:val="0"/>
              <w:spacing w:before="0" w:beforeAutospacing="0" w:after="0" w:afterAutospacing="0" w:line="240" w:lineRule="auto"/>
              <w:ind w:left="0" w:right="0"/>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1.按要求提供</w:t>
            </w:r>
          </w:p>
          <w:p>
            <w:pPr>
              <w:pStyle w:val="7"/>
              <w:suppressLineNumbers w:val="0"/>
              <w:adjustRightInd w:val="0"/>
              <w:snapToGrid w:val="0"/>
              <w:spacing w:before="0" w:beforeAutospacing="0" w:after="0" w:afterAutospacing="0" w:line="240" w:lineRule="auto"/>
              <w:ind w:left="0" w:right="0"/>
              <w:jc w:val="both"/>
              <w:rPr>
                <w:rFonts w:hint="eastAsia" w:ascii="宋体" w:hAnsi="宋体" w:eastAsia="宋体" w:cs="宋体"/>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2.合法有效</w:t>
            </w:r>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p>
        </w:tc>
        <w:tc>
          <w:tcPr>
            <w:tcW w:w="573"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715"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highlight w:val="none"/>
              </w:rPr>
            </w:pPr>
          </w:p>
        </w:tc>
        <w:tc>
          <w:tcPr>
            <w:tcW w:w="3788" w:type="dxa"/>
            <w:noWrap w:val="0"/>
            <w:vAlign w:val="center"/>
          </w:tcPr>
          <w:p>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结论</w:t>
            </w:r>
          </w:p>
        </w:tc>
        <w:tc>
          <w:tcPr>
            <w:tcW w:w="1984"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p>
        </w:tc>
        <w:tc>
          <w:tcPr>
            <w:tcW w:w="709"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p>
        </w:tc>
        <w:tc>
          <w:tcPr>
            <w:tcW w:w="573" w:type="dxa"/>
            <w:noWrap w:val="0"/>
            <w:vAlign w:val="top"/>
          </w:tcPr>
          <w:p>
            <w:pPr>
              <w:pStyle w:val="7"/>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auto"/>
                <w:sz w:val="21"/>
                <w:szCs w:val="21"/>
                <w:highlight w:val="none"/>
                <w:lang w:val="en-US" w:eastAsia="zh-CN"/>
              </w:rPr>
            </w:pPr>
          </w:p>
        </w:tc>
      </w:tr>
    </w:tbl>
    <w:p>
      <w:pPr>
        <w:rPr>
          <w:rFonts w:hint="eastAsia" w:ascii="宋体" w:hAnsi="宋体" w:eastAsia="宋体" w:cs="宋体"/>
          <w:color w:val="auto"/>
          <w:highlight w:val="none"/>
        </w:rPr>
      </w:pPr>
      <w:r>
        <w:rPr>
          <w:rFonts w:hint="eastAsia" w:ascii="宋体" w:hAnsi="宋体" w:eastAsia="宋体" w:cs="宋体"/>
          <w:color w:val="auto"/>
          <w:highlight w:val="none"/>
        </w:rPr>
        <w:t>填表说明：1、每项内容审查合格，在表中填写“√”；不合格填写“×”</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2、审查结论填写“通过”或“不通过”</w:t>
      </w:r>
    </w:p>
    <w:p>
      <w:pPr>
        <w:rPr>
          <w:rFonts w:hint="eastAsia" w:ascii="宋体" w:hAnsi="宋体" w:eastAsia="宋体" w:cs="宋体"/>
          <w:color w:val="auto"/>
          <w:highlight w:val="none"/>
        </w:rPr>
      </w:pPr>
      <w:r>
        <w:rPr>
          <w:rFonts w:hint="eastAsia" w:ascii="宋体" w:hAnsi="宋体" w:eastAsia="宋体" w:cs="宋体"/>
          <w:color w:val="auto"/>
          <w:highlight w:val="none"/>
        </w:rPr>
        <w:t>审查人签字：</w:t>
      </w:r>
    </w:p>
    <w:p>
      <w:pPr>
        <w:rPr>
          <w:rFonts w:hint="eastAsia" w:ascii="宋体" w:hAnsi="宋体" w:eastAsia="宋体" w:cs="宋体"/>
          <w:b/>
          <w:color w:val="auto"/>
          <w:szCs w:val="21"/>
          <w:highlight w:val="none"/>
        </w:rPr>
      </w:pPr>
      <w:r>
        <w:rPr>
          <w:rFonts w:hint="eastAsia" w:ascii="宋体" w:hAnsi="宋体" w:eastAsia="宋体" w:cs="宋体"/>
          <w:color w:val="auto"/>
          <w:highlight w:val="none"/>
        </w:rPr>
        <w:t>日      期：</w:t>
      </w:r>
    </w:p>
    <w:p>
      <w:pPr>
        <w:rPr>
          <w:rFonts w:hint="eastAsia"/>
          <w:color w:val="auto"/>
          <w:highlight w:val="none"/>
        </w:rPr>
      </w:pPr>
      <w:bookmarkStart w:id="249" w:name="_Toc4485675"/>
      <w:bookmarkStart w:id="250" w:name="_Toc533340199"/>
    </w:p>
    <w:p>
      <w:pPr>
        <w:pStyle w:val="7"/>
        <w:adjustRightInd w:val="0"/>
        <w:snapToGrid w:val="0"/>
        <w:spacing w:before="0" w:after="0" w:line="240" w:lineRule="auto"/>
        <w:jc w:val="left"/>
        <w:rPr>
          <w:rFonts w:hint="eastAsia" w:ascii="宋体" w:hAnsi="宋体" w:eastAsia="宋体" w:cs="宋体"/>
          <w:color w:val="auto"/>
          <w:sz w:val="28"/>
          <w:szCs w:val="28"/>
          <w:highlight w:val="none"/>
        </w:rPr>
      </w:pPr>
    </w:p>
    <w:p>
      <w:pPr>
        <w:pStyle w:val="7"/>
        <w:adjustRightInd w:val="0"/>
        <w:snapToGrid w:val="0"/>
        <w:spacing w:before="0" w:after="0"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附件2</w:t>
      </w:r>
      <w:bookmarkEnd w:id="249"/>
      <w:bookmarkEnd w:id="250"/>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符合性审查表</w:t>
      </w:r>
    </w:p>
    <w:tbl>
      <w:tblPr>
        <w:tblStyle w:val="40"/>
        <w:tblW w:w="8178"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
        <w:gridCol w:w="2169"/>
        <w:gridCol w:w="2646"/>
        <w:gridCol w:w="958"/>
        <w:gridCol w:w="931"/>
        <w:gridCol w:w="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612" w:type="dxa"/>
            <w:vMerge w:val="restart"/>
            <w:noWrap w:val="0"/>
            <w:vAlign w:val="center"/>
          </w:tcPr>
          <w:p>
            <w:pPr>
              <w:pStyle w:val="134"/>
              <w:keepNext w:val="0"/>
              <w:keepLines w:val="0"/>
              <w:suppressLineNumbers w:val="0"/>
              <w:spacing w:before="0" w:beforeAutospacing="0" w:after="0" w:afterAutospacing="0"/>
              <w:ind w:left="107" w:right="0"/>
              <w:jc w:val="center"/>
              <w:rPr>
                <w:rFonts w:hint="default"/>
                <w:b w:val="0"/>
                <w:bCs/>
                <w:color w:val="auto"/>
                <w:sz w:val="21"/>
                <w:highlight w:val="none"/>
              </w:rPr>
            </w:pPr>
            <w:bookmarkStart w:id="251" w:name="序号"/>
            <w:bookmarkEnd w:id="251"/>
            <w:r>
              <w:rPr>
                <w:rFonts w:hint="default"/>
                <w:b w:val="0"/>
                <w:bCs/>
                <w:color w:val="auto"/>
                <w:sz w:val="21"/>
                <w:highlight w:val="none"/>
              </w:rPr>
              <w:t>序号</w:t>
            </w:r>
          </w:p>
        </w:tc>
        <w:tc>
          <w:tcPr>
            <w:tcW w:w="2169" w:type="dxa"/>
            <w:vMerge w:val="restart"/>
            <w:noWrap w:val="0"/>
            <w:vAlign w:val="center"/>
          </w:tcPr>
          <w:p>
            <w:pPr>
              <w:pStyle w:val="134"/>
              <w:keepNext w:val="0"/>
              <w:keepLines w:val="0"/>
              <w:suppressLineNumbers w:val="0"/>
              <w:spacing w:before="0" w:beforeAutospacing="0" w:after="0" w:afterAutospacing="0"/>
              <w:ind w:left="108" w:right="0"/>
              <w:jc w:val="center"/>
              <w:rPr>
                <w:rFonts w:hint="default"/>
                <w:b w:val="0"/>
                <w:bCs/>
                <w:color w:val="auto"/>
                <w:sz w:val="21"/>
                <w:highlight w:val="none"/>
              </w:rPr>
            </w:pPr>
            <w:bookmarkStart w:id="252" w:name="审查项目"/>
            <w:bookmarkEnd w:id="252"/>
            <w:r>
              <w:rPr>
                <w:rFonts w:hint="default"/>
                <w:b w:val="0"/>
                <w:bCs/>
                <w:color w:val="auto"/>
                <w:sz w:val="21"/>
                <w:highlight w:val="none"/>
              </w:rPr>
              <w:t>审查项目</w:t>
            </w:r>
          </w:p>
        </w:tc>
        <w:tc>
          <w:tcPr>
            <w:tcW w:w="2646" w:type="dxa"/>
            <w:vMerge w:val="restart"/>
            <w:noWrap w:val="0"/>
            <w:vAlign w:val="center"/>
          </w:tcPr>
          <w:p>
            <w:pPr>
              <w:pStyle w:val="134"/>
              <w:keepNext w:val="0"/>
              <w:keepLines w:val="0"/>
              <w:suppressLineNumbers w:val="0"/>
              <w:spacing w:before="0" w:beforeAutospacing="0" w:after="0" w:afterAutospacing="0"/>
              <w:ind w:left="108" w:right="0"/>
              <w:jc w:val="center"/>
              <w:rPr>
                <w:rFonts w:hint="default"/>
                <w:b w:val="0"/>
                <w:bCs/>
                <w:color w:val="auto"/>
                <w:sz w:val="21"/>
                <w:highlight w:val="none"/>
              </w:rPr>
            </w:pPr>
            <w:bookmarkStart w:id="253" w:name="审查标准"/>
            <w:bookmarkEnd w:id="253"/>
            <w:r>
              <w:rPr>
                <w:rFonts w:hint="default"/>
                <w:b w:val="0"/>
                <w:bCs/>
                <w:color w:val="auto"/>
                <w:sz w:val="21"/>
                <w:highlight w:val="none"/>
              </w:rPr>
              <w:t>审查标准</w:t>
            </w:r>
          </w:p>
        </w:tc>
        <w:tc>
          <w:tcPr>
            <w:tcW w:w="2751" w:type="dxa"/>
            <w:gridSpan w:val="3"/>
            <w:noWrap w:val="0"/>
            <w:vAlign w:val="top"/>
          </w:tcPr>
          <w:p>
            <w:pPr>
              <w:pStyle w:val="134"/>
              <w:keepNext w:val="0"/>
              <w:keepLines w:val="0"/>
              <w:suppressLineNumbers w:val="0"/>
              <w:spacing w:before="116" w:beforeAutospacing="0" w:after="0" w:afterAutospacing="0"/>
              <w:ind w:left="106" w:right="0" w:firstLine="1050" w:firstLineChars="500"/>
              <w:rPr>
                <w:rFonts w:hint="default"/>
                <w:b w:val="0"/>
                <w:bCs/>
                <w:color w:val="auto"/>
                <w:sz w:val="21"/>
                <w:highlight w:val="none"/>
              </w:rPr>
            </w:pPr>
            <w:bookmarkStart w:id="254" w:name="投标人名称"/>
            <w:bookmarkEnd w:id="254"/>
            <w:r>
              <w:rPr>
                <w:rFonts w:hint="eastAsia" w:ascii="宋体" w:hAnsi="宋体" w:cs="宋体"/>
                <w:color w:val="auto"/>
                <w:kern w:val="0"/>
                <w:highlight w:val="none"/>
                <w:lang w:val="en-US" w:eastAsia="zh-CN"/>
              </w:rPr>
              <w:t>供应商</w:t>
            </w:r>
            <w:r>
              <w:rPr>
                <w:rFonts w:hint="default"/>
                <w:b w:val="0"/>
                <w:bCs/>
                <w:color w:val="auto"/>
                <w:sz w:val="21"/>
                <w:highlight w:val="none"/>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612" w:type="dxa"/>
            <w:vMerge w:val="continue"/>
            <w:tcBorders>
              <w:top w:val="nil"/>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b w:val="0"/>
                <w:bCs/>
                <w:color w:val="auto"/>
                <w:sz w:val="2"/>
                <w:szCs w:val="2"/>
                <w:highlight w:val="none"/>
              </w:rPr>
            </w:pPr>
          </w:p>
        </w:tc>
        <w:tc>
          <w:tcPr>
            <w:tcW w:w="2169" w:type="dxa"/>
            <w:vMerge w:val="continue"/>
            <w:tcBorders>
              <w:top w:val="nil"/>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b w:val="0"/>
                <w:bCs/>
                <w:color w:val="auto"/>
                <w:sz w:val="2"/>
                <w:szCs w:val="2"/>
                <w:highlight w:val="none"/>
              </w:rPr>
            </w:pPr>
          </w:p>
        </w:tc>
        <w:tc>
          <w:tcPr>
            <w:tcW w:w="2646" w:type="dxa"/>
            <w:vMerge w:val="continue"/>
            <w:tcBorders>
              <w:top w:val="nil"/>
            </w:tcBorders>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b w:val="0"/>
                <w:bCs/>
                <w:color w:val="auto"/>
                <w:sz w:val="2"/>
                <w:szCs w:val="2"/>
                <w:highlight w:val="none"/>
              </w:rPr>
            </w:pPr>
          </w:p>
        </w:tc>
        <w:tc>
          <w:tcPr>
            <w:tcW w:w="958" w:type="dxa"/>
            <w:noWrap w:val="0"/>
            <w:vAlign w:val="top"/>
          </w:tcPr>
          <w:p>
            <w:pPr>
              <w:pStyle w:val="134"/>
              <w:keepNext w:val="0"/>
              <w:keepLines w:val="0"/>
              <w:suppressLineNumbers w:val="0"/>
              <w:spacing w:before="0" w:beforeAutospacing="0" w:after="0" w:afterAutospacing="0"/>
              <w:ind w:left="0" w:right="0"/>
              <w:rPr>
                <w:rFonts w:hint="default" w:ascii="Times New Roman"/>
                <w:b w:val="0"/>
                <w:bCs/>
                <w:color w:val="auto"/>
                <w:sz w:val="20"/>
                <w:highlight w:val="none"/>
              </w:rPr>
            </w:pPr>
          </w:p>
        </w:tc>
        <w:tc>
          <w:tcPr>
            <w:tcW w:w="931" w:type="dxa"/>
            <w:noWrap w:val="0"/>
            <w:vAlign w:val="top"/>
          </w:tcPr>
          <w:p>
            <w:pPr>
              <w:pStyle w:val="134"/>
              <w:keepNext w:val="0"/>
              <w:keepLines w:val="0"/>
              <w:suppressLineNumbers w:val="0"/>
              <w:spacing w:before="0" w:beforeAutospacing="0" w:after="0" w:afterAutospacing="0"/>
              <w:ind w:left="0" w:right="0"/>
              <w:rPr>
                <w:rFonts w:hint="default" w:ascii="Times New Roman"/>
                <w:b w:val="0"/>
                <w:bCs/>
                <w:color w:val="auto"/>
                <w:sz w:val="20"/>
                <w:highlight w:val="none"/>
              </w:rPr>
            </w:pPr>
          </w:p>
        </w:tc>
        <w:tc>
          <w:tcPr>
            <w:tcW w:w="862" w:type="dxa"/>
            <w:noWrap w:val="0"/>
            <w:vAlign w:val="top"/>
          </w:tcPr>
          <w:p>
            <w:pPr>
              <w:pStyle w:val="134"/>
              <w:keepNext w:val="0"/>
              <w:keepLines w:val="0"/>
              <w:suppressLineNumbers w:val="0"/>
              <w:spacing w:before="0" w:beforeAutospacing="0" w:after="0" w:afterAutospacing="0"/>
              <w:ind w:left="0" w:right="0"/>
              <w:rPr>
                <w:rFonts w:hint="default"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2" w:hRule="atLeast"/>
        </w:trPr>
        <w:tc>
          <w:tcPr>
            <w:tcW w:w="612" w:type="dxa"/>
            <w:noWrap w:val="0"/>
            <w:vAlign w:val="top"/>
          </w:tcPr>
          <w:p>
            <w:pPr>
              <w:pStyle w:val="134"/>
              <w:keepNext w:val="0"/>
              <w:keepLines w:val="0"/>
              <w:suppressLineNumbers w:val="0"/>
              <w:spacing w:before="8" w:beforeAutospacing="0" w:after="0" w:afterAutospacing="0"/>
              <w:ind w:left="0" w:right="0"/>
              <w:rPr>
                <w:rFonts w:hint="default"/>
                <w:b w:val="0"/>
                <w:bCs/>
                <w:color w:val="auto"/>
                <w:sz w:val="23"/>
                <w:highlight w:val="none"/>
              </w:rPr>
            </w:pPr>
          </w:p>
          <w:p>
            <w:pPr>
              <w:pStyle w:val="134"/>
              <w:keepNext w:val="0"/>
              <w:keepLines w:val="0"/>
              <w:suppressLineNumbers w:val="0"/>
              <w:spacing w:before="0" w:beforeAutospacing="0" w:after="0" w:afterAutospacing="0"/>
              <w:ind w:left="9" w:right="0"/>
              <w:jc w:val="center"/>
              <w:rPr>
                <w:rFonts w:hint="default"/>
                <w:b w:val="0"/>
                <w:bCs/>
                <w:color w:val="auto"/>
                <w:sz w:val="20"/>
                <w:highlight w:val="none"/>
              </w:rPr>
            </w:pPr>
            <w:r>
              <w:rPr>
                <w:rFonts w:hint="default"/>
                <w:b w:val="0"/>
                <w:bCs/>
                <w:color w:val="auto"/>
                <w:w w:val="99"/>
                <w:sz w:val="20"/>
                <w:highlight w:val="none"/>
              </w:rPr>
              <w:t>1</w:t>
            </w:r>
          </w:p>
        </w:tc>
        <w:tc>
          <w:tcPr>
            <w:tcW w:w="2169" w:type="dxa"/>
            <w:noWrap w:val="0"/>
            <w:vAlign w:val="top"/>
          </w:tcPr>
          <w:p>
            <w:pPr>
              <w:pStyle w:val="134"/>
              <w:keepNext w:val="0"/>
              <w:keepLines w:val="0"/>
              <w:suppressLineNumbers w:val="0"/>
              <w:spacing w:before="0" w:beforeAutospacing="0" w:after="0" w:afterAutospacing="0"/>
              <w:ind w:left="0" w:right="0"/>
              <w:rPr>
                <w:rFonts w:hint="default"/>
                <w:b w:val="0"/>
                <w:bCs/>
                <w:color w:val="auto"/>
                <w:sz w:val="23"/>
                <w:highlight w:val="none"/>
              </w:rPr>
            </w:pPr>
          </w:p>
          <w:p>
            <w:pPr>
              <w:pStyle w:val="134"/>
              <w:keepNext w:val="0"/>
              <w:keepLines w:val="0"/>
              <w:suppressLineNumbers w:val="0"/>
              <w:spacing w:before="1" w:beforeAutospacing="0" w:after="0" w:afterAutospacing="0"/>
              <w:ind w:left="108" w:right="0"/>
              <w:rPr>
                <w:rFonts w:hint="default"/>
                <w:b w:val="0"/>
                <w:bCs/>
                <w:color w:val="auto"/>
                <w:sz w:val="21"/>
                <w:highlight w:val="none"/>
              </w:rPr>
            </w:pPr>
            <w:r>
              <w:rPr>
                <w:rFonts w:hint="eastAsia"/>
                <w:b w:val="0"/>
                <w:bCs/>
                <w:color w:val="auto"/>
                <w:sz w:val="21"/>
                <w:highlight w:val="none"/>
                <w:lang w:eastAsia="zh-CN"/>
              </w:rPr>
              <w:t>响应</w:t>
            </w:r>
            <w:r>
              <w:rPr>
                <w:rFonts w:hint="default"/>
                <w:b w:val="0"/>
                <w:bCs/>
                <w:color w:val="auto"/>
                <w:sz w:val="21"/>
                <w:highlight w:val="none"/>
              </w:rPr>
              <w:t>函</w:t>
            </w:r>
          </w:p>
        </w:tc>
        <w:tc>
          <w:tcPr>
            <w:tcW w:w="2646" w:type="dxa"/>
            <w:noWrap w:val="0"/>
            <w:vAlign w:val="top"/>
          </w:tcPr>
          <w:p>
            <w:pPr>
              <w:pStyle w:val="134"/>
              <w:keepNext w:val="0"/>
              <w:keepLines w:val="0"/>
              <w:suppressLineNumbers w:val="0"/>
              <w:spacing w:before="0" w:beforeAutospacing="0" w:after="0" w:afterAutospacing="0"/>
              <w:ind w:left="108" w:right="0"/>
              <w:rPr>
                <w:rFonts w:hint="default"/>
                <w:b w:val="0"/>
                <w:bCs/>
                <w:color w:val="auto"/>
                <w:sz w:val="21"/>
                <w:highlight w:val="none"/>
              </w:rPr>
            </w:pPr>
            <w:bookmarkStart w:id="255" w:name="1、按给定格式填写"/>
            <w:bookmarkEnd w:id="255"/>
            <w:r>
              <w:rPr>
                <w:rFonts w:hint="default"/>
                <w:b w:val="0"/>
                <w:bCs/>
                <w:color w:val="auto"/>
                <w:sz w:val="21"/>
                <w:highlight w:val="none"/>
              </w:rPr>
              <w:t>1、按给定格式填写</w:t>
            </w:r>
          </w:p>
          <w:p>
            <w:pPr>
              <w:pStyle w:val="134"/>
              <w:keepNext w:val="0"/>
              <w:keepLines w:val="0"/>
              <w:suppressLineNumbers w:val="0"/>
              <w:spacing w:before="26" w:beforeAutospacing="0" w:after="0" w:afterAutospacing="0"/>
              <w:ind w:left="108" w:right="0"/>
              <w:rPr>
                <w:rFonts w:hint="default"/>
                <w:b w:val="0"/>
                <w:bCs/>
                <w:color w:val="auto"/>
                <w:sz w:val="21"/>
                <w:highlight w:val="none"/>
              </w:rPr>
            </w:pPr>
            <w:r>
              <w:rPr>
                <w:rFonts w:hint="default"/>
                <w:b w:val="0"/>
                <w:bCs/>
                <w:color w:val="auto"/>
                <w:sz w:val="21"/>
                <w:highlight w:val="none"/>
              </w:rPr>
              <w:t>2、响应招标文件实质性要求</w:t>
            </w:r>
          </w:p>
          <w:p>
            <w:pPr>
              <w:pStyle w:val="134"/>
              <w:keepNext w:val="0"/>
              <w:keepLines w:val="0"/>
              <w:suppressLineNumbers w:val="0"/>
              <w:spacing w:before="26" w:beforeAutospacing="0" w:after="0" w:afterAutospacing="0" w:line="252" w:lineRule="exact"/>
              <w:ind w:left="108" w:right="0"/>
              <w:rPr>
                <w:rFonts w:hint="default"/>
                <w:b w:val="0"/>
                <w:bCs/>
                <w:color w:val="auto"/>
                <w:sz w:val="21"/>
                <w:highlight w:val="none"/>
              </w:rPr>
            </w:pPr>
            <w:bookmarkStart w:id="256" w:name="3、按规定签章"/>
            <w:bookmarkEnd w:id="256"/>
            <w:r>
              <w:rPr>
                <w:rFonts w:hint="default"/>
                <w:b w:val="0"/>
                <w:bCs/>
                <w:color w:val="auto"/>
                <w:sz w:val="21"/>
                <w:highlight w:val="none"/>
              </w:rPr>
              <w:t>3、按规定签章</w:t>
            </w:r>
          </w:p>
        </w:tc>
        <w:tc>
          <w:tcPr>
            <w:tcW w:w="958" w:type="dxa"/>
            <w:noWrap w:val="0"/>
            <w:vAlign w:val="top"/>
          </w:tcPr>
          <w:p>
            <w:pPr>
              <w:pStyle w:val="134"/>
              <w:keepNext w:val="0"/>
              <w:keepLines w:val="0"/>
              <w:suppressLineNumbers w:val="0"/>
              <w:spacing w:before="0" w:beforeAutospacing="0" w:after="0" w:afterAutospacing="0"/>
              <w:ind w:left="0" w:right="0"/>
              <w:rPr>
                <w:rFonts w:hint="default" w:ascii="Times New Roman"/>
                <w:b w:val="0"/>
                <w:bCs/>
                <w:color w:val="auto"/>
                <w:sz w:val="20"/>
                <w:highlight w:val="none"/>
              </w:rPr>
            </w:pPr>
          </w:p>
        </w:tc>
        <w:tc>
          <w:tcPr>
            <w:tcW w:w="931" w:type="dxa"/>
            <w:noWrap w:val="0"/>
            <w:vAlign w:val="top"/>
          </w:tcPr>
          <w:p>
            <w:pPr>
              <w:pStyle w:val="134"/>
              <w:keepNext w:val="0"/>
              <w:keepLines w:val="0"/>
              <w:suppressLineNumbers w:val="0"/>
              <w:spacing w:before="0" w:beforeAutospacing="0" w:after="0" w:afterAutospacing="0"/>
              <w:ind w:left="0" w:right="0"/>
              <w:rPr>
                <w:rFonts w:hint="default" w:ascii="Times New Roman"/>
                <w:b w:val="0"/>
                <w:bCs/>
                <w:color w:val="auto"/>
                <w:sz w:val="20"/>
                <w:highlight w:val="none"/>
              </w:rPr>
            </w:pPr>
          </w:p>
        </w:tc>
        <w:tc>
          <w:tcPr>
            <w:tcW w:w="862" w:type="dxa"/>
            <w:noWrap w:val="0"/>
            <w:vAlign w:val="top"/>
          </w:tcPr>
          <w:p>
            <w:pPr>
              <w:pStyle w:val="134"/>
              <w:keepNext w:val="0"/>
              <w:keepLines w:val="0"/>
              <w:suppressLineNumbers w:val="0"/>
              <w:spacing w:before="0" w:beforeAutospacing="0" w:after="0" w:afterAutospacing="0"/>
              <w:ind w:left="0" w:right="0"/>
              <w:rPr>
                <w:rFonts w:hint="default"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612" w:type="dxa"/>
            <w:noWrap w:val="0"/>
            <w:vAlign w:val="top"/>
          </w:tcPr>
          <w:p>
            <w:pPr>
              <w:pStyle w:val="134"/>
              <w:keepNext w:val="0"/>
              <w:keepLines w:val="0"/>
              <w:suppressLineNumbers w:val="0"/>
              <w:spacing w:before="1" w:beforeAutospacing="0" w:after="0" w:afterAutospacing="0"/>
              <w:ind w:left="0" w:right="0"/>
              <w:rPr>
                <w:rFonts w:hint="default"/>
                <w:b w:val="0"/>
                <w:bCs/>
                <w:color w:val="auto"/>
                <w:sz w:val="23"/>
                <w:highlight w:val="none"/>
              </w:rPr>
            </w:pPr>
          </w:p>
          <w:p>
            <w:pPr>
              <w:pStyle w:val="134"/>
              <w:keepNext w:val="0"/>
              <w:keepLines w:val="0"/>
              <w:suppressLineNumbers w:val="0"/>
              <w:spacing w:before="0" w:beforeAutospacing="0" w:after="0" w:afterAutospacing="0"/>
              <w:ind w:left="9" w:right="0"/>
              <w:jc w:val="center"/>
              <w:rPr>
                <w:rFonts w:hint="eastAsia" w:eastAsia="宋体"/>
                <w:b w:val="0"/>
                <w:bCs/>
                <w:color w:val="auto"/>
                <w:sz w:val="21"/>
                <w:highlight w:val="none"/>
                <w:lang w:eastAsia="zh-CN"/>
              </w:rPr>
            </w:pPr>
            <w:r>
              <w:rPr>
                <w:rFonts w:hint="eastAsia"/>
                <w:b w:val="0"/>
                <w:bCs/>
                <w:color w:val="auto"/>
                <w:w w:val="99"/>
                <w:sz w:val="21"/>
                <w:highlight w:val="none"/>
                <w:lang w:val="en-US" w:eastAsia="zh-CN"/>
              </w:rPr>
              <w:t>2</w:t>
            </w:r>
          </w:p>
        </w:tc>
        <w:tc>
          <w:tcPr>
            <w:tcW w:w="2169" w:type="dxa"/>
            <w:noWrap w:val="0"/>
            <w:vAlign w:val="top"/>
          </w:tcPr>
          <w:p>
            <w:pPr>
              <w:pStyle w:val="134"/>
              <w:keepNext w:val="0"/>
              <w:keepLines w:val="0"/>
              <w:suppressLineNumbers w:val="0"/>
              <w:spacing w:before="1" w:beforeAutospacing="0" w:after="0" w:afterAutospacing="0"/>
              <w:ind w:left="0" w:right="0"/>
              <w:rPr>
                <w:rFonts w:hint="default"/>
                <w:b w:val="0"/>
                <w:bCs/>
                <w:color w:val="auto"/>
                <w:sz w:val="23"/>
                <w:highlight w:val="none"/>
              </w:rPr>
            </w:pPr>
          </w:p>
          <w:p>
            <w:pPr>
              <w:pStyle w:val="134"/>
              <w:keepNext w:val="0"/>
              <w:keepLines w:val="0"/>
              <w:suppressLineNumbers w:val="0"/>
              <w:spacing w:before="0" w:beforeAutospacing="0" w:after="0" w:afterAutospacing="0"/>
              <w:ind w:left="108" w:right="0"/>
              <w:rPr>
                <w:rFonts w:hint="default"/>
                <w:b w:val="0"/>
                <w:bCs/>
                <w:color w:val="auto"/>
                <w:sz w:val="21"/>
                <w:highlight w:val="none"/>
              </w:rPr>
            </w:pPr>
            <w:r>
              <w:rPr>
                <w:rFonts w:hint="default"/>
                <w:b w:val="0"/>
                <w:bCs/>
                <w:color w:val="auto"/>
                <w:sz w:val="21"/>
                <w:highlight w:val="none"/>
              </w:rPr>
              <w:t>报价一览表</w:t>
            </w:r>
          </w:p>
        </w:tc>
        <w:tc>
          <w:tcPr>
            <w:tcW w:w="2646" w:type="dxa"/>
            <w:noWrap w:val="0"/>
            <w:vAlign w:val="top"/>
          </w:tcPr>
          <w:p>
            <w:pPr>
              <w:pStyle w:val="134"/>
              <w:keepNext w:val="0"/>
              <w:keepLines w:val="0"/>
              <w:suppressLineNumbers w:val="0"/>
              <w:spacing w:before="1" w:beforeAutospacing="0" w:after="0" w:afterAutospacing="0"/>
              <w:ind w:left="108" w:right="0"/>
              <w:rPr>
                <w:rFonts w:hint="default"/>
                <w:b w:val="0"/>
                <w:bCs/>
                <w:color w:val="auto"/>
                <w:sz w:val="21"/>
                <w:highlight w:val="none"/>
              </w:rPr>
            </w:pPr>
            <w:bookmarkStart w:id="257" w:name="1、按给定格式填写"/>
            <w:bookmarkEnd w:id="257"/>
            <w:r>
              <w:rPr>
                <w:rFonts w:hint="default"/>
                <w:b w:val="0"/>
                <w:bCs/>
                <w:color w:val="auto"/>
                <w:sz w:val="21"/>
                <w:highlight w:val="none"/>
              </w:rPr>
              <w:t>1、按给定格式填写</w:t>
            </w:r>
          </w:p>
          <w:p>
            <w:pPr>
              <w:pStyle w:val="134"/>
              <w:keepNext w:val="0"/>
              <w:keepLines w:val="0"/>
              <w:suppressLineNumbers w:val="0"/>
              <w:spacing w:before="26" w:beforeAutospacing="0" w:after="0" w:afterAutospacing="0"/>
              <w:ind w:left="108" w:right="0"/>
              <w:rPr>
                <w:rFonts w:hint="default"/>
                <w:b w:val="0"/>
                <w:bCs/>
                <w:color w:val="auto"/>
                <w:sz w:val="21"/>
                <w:highlight w:val="none"/>
              </w:rPr>
            </w:pPr>
            <w:r>
              <w:rPr>
                <w:rFonts w:hint="default"/>
                <w:b w:val="0"/>
                <w:bCs/>
                <w:color w:val="auto"/>
                <w:sz w:val="21"/>
                <w:highlight w:val="none"/>
              </w:rPr>
              <w:t>2、响应招标文件实质性要求</w:t>
            </w:r>
          </w:p>
          <w:p>
            <w:pPr>
              <w:pStyle w:val="134"/>
              <w:keepNext w:val="0"/>
              <w:keepLines w:val="0"/>
              <w:suppressLineNumbers w:val="0"/>
              <w:spacing w:before="26" w:beforeAutospacing="0" w:after="0" w:afterAutospacing="0" w:line="252" w:lineRule="exact"/>
              <w:ind w:left="108" w:right="0"/>
              <w:rPr>
                <w:rFonts w:hint="default"/>
                <w:b w:val="0"/>
                <w:bCs/>
                <w:color w:val="auto"/>
                <w:sz w:val="21"/>
                <w:highlight w:val="none"/>
              </w:rPr>
            </w:pPr>
            <w:bookmarkStart w:id="258" w:name="3、按规定签章"/>
            <w:bookmarkEnd w:id="258"/>
            <w:r>
              <w:rPr>
                <w:rFonts w:hint="default"/>
                <w:b w:val="0"/>
                <w:bCs/>
                <w:color w:val="auto"/>
                <w:sz w:val="21"/>
                <w:highlight w:val="none"/>
              </w:rPr>
              <w:t>3、按规定签章</w:t>
            </w:r>
          </w:p>
        </w:tc>
        <w:tc>
          <w:tcPr>
            <w:tcW w:w="958" w:type="dxa"/>
            <w:noWrap w:val="0"/>
            <w:vAlign w:val="top"/>
          </w:tcPr>
          <w:p>
            <w:pPr>
              <w:pStyle w:val="134"/>
              <w:keepNext w:val="0"/>
              <w:keepLines w:val="0"/>
              <w:suppressLineNumbers w:val="0"/>
              <w:spacing w:before="0" w:beforeAutospacing="0" w:after="0" w:afterAutospacing="0"/>
              <w:ind w:left="0" w:right="0"/>
              <w:rPr>
                <w:rFonts w:hint="default" w:ascii="Times New Roman"/>
                <w:b w:val="0"/>
                <w:bCs/>
                <w:color w:val="auto"/>
                <w:sz w:val="20"/>
                <w:highlight w:val="none"/>
              </w:rPr>
            </w:pPr>
          </w:p>
        </w:tc>
        <w:tc>
          <w:tcPr>
            <w:tcW w:w="931" w:type="dxa"/>
            <w:noWrap w:val="0"/>
            <w:vAlign w:val="top"/>
          </w:tcPr>
          <w:p>
            <w:pPr>
              <w:pStyle w:val="134"/>
              <w:keepNext w:val="0"/>
              <w:keepLines w:val="0"/>
              <w:suppressLineNumbers w:val="0"/>
              <w:spacing w:before="0" w:beforeAutospacing="0" w:after="0" w:afterAutospacing="0"/>
              <w:ind w:left="0" w:right="0"/>
              <w:rPr>
                <w:rFonts w:hint="default" w:ascii="Times New Roman"/>
                <w:b w:val="0"/>
                <w:bCs/>
                <w:color w:val="auto"/>
                <w:sz w:val="20"/>
                <w:highlight w:val="none"/>
              </w:rPr>
            </w:pPr>
          </w:p>
        </w:tc>
        <w:tc>
          <w:tcPr>
            <w:tcW w:w="862" w:type="dxa"/>
            <w:noWrap w:val="0"/>
            <w:vAlign w:val="top"/>
          </w:tcPr>
          <w:p>
            <w:pPr>
              <w:pStyle w:val="134"/>
              <w:keepNext w:val="0"/>
              <w:keepLines w:val="0"/>
              <w:suppressLineNumbers w:val="0"/>
              <w:spacing w:before="0" w:beforeAutospacing="0" w:after="0" w:afterAutospacing="0"/>
              <w:ind w:left="0" w:right="0"/>
              <w:rPr>
                <w:rFonts w:hint="default"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612" w:type="dxa"/>
            <w:noWrap w:val="0"/>
            <w:vAlign w:val="top"/>
          </w:tcPr>
          <w:p>
            <w:pPr>
              <w:pStyle w:val="134"/>
              <w:keepNext w:val="0"/>
              <w:keepLines w:val="0"/>
              <w:suppressLineNumbers w:val="0"/>
              <w:spacing w:before="12" w:beforeAutospacing="0" w:after="0" w:afterAutospacing="0"/>
              <w:ind w:left="0" w:right="0"/>
              <w:rPr>
                <w:rFonts w:hint="default"/>
                <w:b w:val="0"/>
                <w:bCs/>
                <w:color w:val="auto"/>
                <w:sz w:val="22"/>
                <w:highlight w:val="none"/>
              </w:rPr>
            </w:pPr>
          </w:p>
          <w:p>
            <w:pPr>
              <w:pStyle w:val="134"/>
              <w:keepNext w:val="0"/>
              <w:keepLines w:val="0"/>
              <w:suppressLineNumbers w:val="0"/>
              <w:spacing w:before="0" w:beforeAutospacing="0" w:after="0" w:afterAutospacing="0"/>
              <w:ind w:left="9" w:right="0"/>
              <w:jc w:val="center"/>
              <w:rPr>
                <w:rFonts w:hint="default" w:eastAsia="宋体"/>
                <w:b w:val="0"/>
                <w:bCs/>
                <w:color w:val="auto"/>
                <w:sz w:val="21"/>
                <w:highlight w:val="none"/>
                <w:lang w:val="en-US" w:eastAsia="zh-CN"/>
              </w:rPr>
            </w:pPr>
            <w:r>
              <w:rPr>
                <w:rFonts w:hint="eastAsia"/>
                <w:b w:val="0"/>
                <w:bCs/>
                <w:color w:val="auto"/>
                <w:w w:val="99"/>
                <w:sz w:val="21"/>
                <w:highlight w:val="none"/>
                <w:lang w:val="en-US" w:eastAsia="zh-CN"/>
              </w:rPr>
              <w:t>3</w:t>
            </w:r>
          </w:p>
        </w:tc>
        <w:tc>
          <w:tcPr>
            <w:tcW w:w="2169" w:type="dxa"/>
            <w:noWrap w:val="0"/>
            <w:vAlign w:val="top"/>
          </w:tcPr>
          <w:p>
            <w:pPr>
              <w:pStyle w:val="134"/>
              <w:keepNext w:val="0"/>
              <w:keepLines w:val="0"/>
              <w:suppressLineNumbers w:val="0"/>
              <w:spacing w:before="12" w:beforeAutospacing="0" w:after="0" w:afterAutospacing="0"/>
              <w:ind w:left="0" w:right="0"/>
              <w:rPr>
                <w:rFonts w:hint="default"/>
                <w:b w:val="0"/>
                <w:bCs/>
                <w:color w:val="auto"/>
                <w:sz w:val="22"/>
                <w:highlight w:val="none"/>
              </w:rPr>
            </w:pPr>
          </w:p>
          <w:p>
            <w:pPr>
              <w:pStyle w:val="134"/>
              <w:keepNext w:val="0"/>
              <w:keepLines w:val="0"/>
              <w:suppressLineNumbers w:val="0"/>
              <w:spacing w:before="0" w:beforeAutospacing="0" w:after="0" w:afterAutospacing="0"/>
              <w:ind w:left="108" w:right="0"/>
              <w:rPr>
                <w:rFonts w:hint="default"/>
                <w:b w:val="0"/>
                <w:bCs/>
                <w:color w:val="auto"/>
                <w:sz w:val="21"/>
                <w:highlight w:val="none"/>
              </w:rPr>
            </w:pPr>
            <w:r>
              <w:rPr>
                <w:rFonts w:hint="default"/>
                <w:b w:val="0"/>
                <w:bCs/>
                <w:color w:val="auto"/>
                <w:sz w:val="21"/>
                <w:highlight w:val="none"/>
              </w:rPr>
              <w:t>已标价工程量清单</w:t>
            </w:r>
          </w:p>
        </w:tc>
        <w:tc>
          <w:tcPr>
            <w:tcW w:w="2646" w:type="dxa"/>
            <w:noWrap w:val="0"/>
            <w:vAlign w:val="top"/>
          </w:tcPr>
          <w:p>
            <w:pPr>
              <w:pStyle w:val="134"/>
              <w:keepNext w:val="0"/>
              <w:keepLines w:val="0"/>
              <w:suppressLineNumbers w:val="0"/>
              <w:spacing w:before="0" w:beforeAutospacing="0" w:after="0" w:afterAutospacing="0" w:line="268" w:lineRule="exact"/>
              <w:ind w:left="108" w:right="0"/>
              <w:rPr>
                <w:rFonts w:hint="default"/>
                <w:b w:val="0"/>
                <w:bCs/>
                <w:color w:val="auto"/>
                <w:sz w:val="21"/>
                <w:highlight w:val="none"/>
              </w:rPr>
            </w:pPr>
            <w:bookmarkStart w:id="259" w:name="1、按给定格式填写"/>
            <w:bookmarkEnd w:id="259"/>
            <w:r>
              <w:rPr>
                <w:rFonts w:hint="default"/>
                <w:b w:val="0"/>
                <w:bCs/>
                <w:color w:val="auto"/>
                <w:sz w:val="21"/>
                <w:highlight w:val="none"/>
              </w:rPr>
              <w:t>1、按给定格式填写</w:t>
            </w:r>
          </w:p>
          <w:p>
            <w:pPr>
              <w:pStyle w:val="134"/>
              <w:keepNext w:val="0"/>
              <w:keepLines w:val="0"/>
              <w:suppressLineNumbers w:val="0"/>
              <w:spacing w:before="26" w:beforeAutospacing="0" w:after="0" w:afterAutospacing="0"/>
              <w:ind w:left="108" w:right="0"/>
              <w:rPr>
                <w:rFonts w:hint="default"/>
                <w:b w:val="0"/>
                <w:bCs/>
                <w:color w:val="auto"/>
                <w:sz w:val="21"/>
                <w:highlight w:val="none"/>
              </w:rPr>
            </w:pPr>
            <w:r>
              <w:rPr>
                <w:rFonts w:hint="default"/>
                <w:b w:val="0"/>
                <w:bCs/>
                <w:color w:val="auto"/>
                <w:sz w:val="21"/>
                <w:highlight w:val="none"/>
              </w:rPr>
              <w:t>2、响应招标文件实质性要求</w:t>
            </w:r>
          </w:p>
          <w:p>
            <w:pPr>
              <w:pStyle w:val="134"/>
              <w:keepNext w:val="0"/>
              <w:keepLines w:val="0"/>
              <w:suppressLineNumbers w:val="0"/>
              <w:spacing w:before="26" w:beforeAutospacing="0" w:after="0" w:afterAutospacing="0" w:line="253" w:lineRule="exact"/>
              <w:ind w:left="108" w:right="0"/>
              <w:rPr>
                <w:rFonts w:hint="default"/>
                <w:b w:val="0"/>
                <w:bCs/>
                <w:color w:val="auto"/>
                <w:sz w:val="21"/>
                <w:highlight w:val="none"/>
              </w:rPr>
            </w:pPr>
            <w:bookmarkStart w:id="260" w:name="3、按规定签章"/>
            <w:bookmarkEnd w:id="260"/>
            <w:r>
              <w:rPr>
                <w:rFonts w:hint="default"/>
                <w:b w:val="0"/>
                <w:bCs/>
                <w:color w:val="auto"/>
                <w:sz w:val="21"/>
                <w:highlight w:val="none"/>
              </w:rPr>
              <w:t>3、按规定签章</w:t>
            </w:r>
          </w:p>
        </w:tc>
        <w:tc>
          <w:tcPr>
            <w:tcW w:w="958" w:type="dxa"/>
            <w:noWrap w:val="0"/>
            <w:vAlign w:val="top"/>
          </w:tcPr>
          <w:p>
            <w:pPr>
              <w:pStyle w:val="134"/>
              <w:keepNext w:val="0"/>
              <w:keepLines w:val="0"/>
              <w:suppressLineNumbers w:val="0"/>
              <w:spacing w:before="0" w:beforeAutospacing="0" w:after="0" w:afterAutospacing="0"/>
              <w:ind w:left="0" w:right="0"/>
              <w:rPr>
                <w:rFonts w:hint="default" w:ascii="Times New Roman"/>
                <w:b w:val="0"/>
                <w:bCs/>
                <w:color w:val="auto"/>
                <w:sz w:val="20"/>
                <w:highlight w:val="none"/>
              </w:rPr>
            </w:pPr>
          </w:p>
        </w:tc>
        <w:tc>
          <w:tcPr>
            <w:tcW w:w="931" w:type="dxa"/>
            <w:noWrap w:val="0"/>
            <w:vAlign w:val="top"/>
          </w:tcPr>
          <w:p>
            <w:pPr>
              <w:pStyle w:val="134"/>
              <w:keepNext w:val="0"/>
              <w:keepLines w:val="0"/>
              <w:suppressLineNumbers w:val="0"/>
              <w:spacing w:before="0" w:beforeAutospacing="0" w:after="0" w:afterAutospacing="0"/>
              <w:ind w:left="0" w:right="0"/>
              <w:rPr>
                <w:rFonts w:hint="default" w:ascii="Times New Roman"/>
                <w:b w:val="0"/>
                <w:bCs/>
                <w:color w:val="auto"/>
                <w:sz w:val="20"/>
                <w:highlight w:val="none"/>
              </w:rPr>
            </w:pPr>
          </w:p>
        </w:tc>
        <w:tc>
          <w:tcPr>
            <w:tcW w:w="862" w:type="dxa"/>
            <w:noWrap w:val="0"/>
            <w:vAlign w:val="top"/>
          </w:tcPr>
          <w:p>
            <w:pPr>
              <w:pStyle w:val="134"/>
              <w:keepNext w:val="0"/>
              <w:keepLines w:val="0"/>
              <w:suppressLineNumbers w:val="0"/>
              <w:spacing w:before="0" w:beforeAutospacing="0" w:after="0" w:afterAutospacing="0"/>
              <w:ind w:left="0" w:right="0"/>
              <w:rPr>
                <w:rFonts w:hint="default"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612" w:type="dxa"/>
            <w:noWrap w:val="0"/>
            <w:vAlign w:val="top"/>
          </w:tcPr>
          <w:p>
            <w:pPr>
              <w:pStyle w:val="134"/>
              <w:keepNext w:val="0"/>
              <w:keepLines w:val="0"/>
              <w:suppressLineNumbers w:val="0"/>
              <w:spacing w:before="0" w:beforeAutospacing="0" w:after="0" w:afterAutospacing="0"/>
              <w:ind w:left="0" w:right="0"/>
              <w:rPr>
                <w:rFonts w:hint="eastAsia" w:eastAsia="宋体"/>
                <w:b w:val="0"/>
                <w:bCs/>
                <w:color w:val="auto"/>
                <w:sz w:val="20"/>
                <w:highlight w:val="none"/>
                <w:lang w:val="en-US" w:eastAsia="zh-CN"/>
              </w:rPr>
            </w:pPr>
          </w:p>
          <w:p>
            <w:pPr>
              <w:pStyle w:val="134"/>
              <w:keepNext w:val="0"/>
              <w:keepLines w:val="0"/>
              <w:suppressLineNumbers w:val="0"/>
              <w:spacing w:before="175" w:beforeAutospacing="0" w:after="0" w:afterAutospacing="0"/>
              <w:ind w:left="9" w:right="0"/>
              <w:jc w:val="center"/>
              <w:rPr>
                <w:rFonts w:hint="eastAsia" w:eastAsia="宋体"/>
                <w:b w:val="0"/>
                <w:bCs/>
                <w:color w:val="auto"/>
                <w:sz w:val="21"/>
                <w:highlight w:val="none"/>
                <w:lang w:eastAsia="zh-CN"/>
              </w:rPr>
            </w:pPr>
            <w:r>
              <w:rPr>
                <w:rFonts w:hint="eastAsia"/>
                <w:b w:val="0"/>
                <w:bCs/>
                <w:color w:val="auto"/>
                <w:w w:val="99"/>
                <w:sz w:val="21"/>
                <w:highlight w:val="none"/>
                <w:lang w:val="en-US" w:eastAsia="zh-CN"/>
              </w:rPr>
              <w:t>4</w:t>
            </w:r>
          </w:p>
        </w:tc>
        <w:tc>
          <w:tcPr>
            <w:tcW w:w="2169" w:type="dxa"/>
            <w:noWrap w:val="0"/>
            <w:vAlign w:val="top"/>
          </w:tcPr>
          <w:p>
            <w:pPr>
              <w:pStyle w:val="134"/>
              <w:keepNext w:val="0"/>
              <w:keepLines w:val="0"/>
              <w:suppressLineNumbers w:val="0"/>
              <w:spacing w:before="0" w:beforeAutospacing="0" w:after="0" w:afterAutospacing="0"/>
              <w:ind w:left="0" w:right="0"/>
              <w:rPr>
                <w:rFonts w:hint="default"/>
                <w:b w:val="0"/>
                <w:bCs/>
                <w:color w:val="auto"/>
                <w:sz w:val="20"/>
                <w:highlight w:val="none"/>
              </w:rPr>
            </w:pPr>
          </w:p>
          <w:p>
            <w:pPr>
              <w:pStyle w:val="134"/>
              <w:keepNext w:val="0"/>
              <w:keepLines w:val="0"/>
              <w:suppressLineNumbers w:val="0"/>
              <w:spacing w:before="175" w:beforeAutospacing="0" w:after="0" w:afterAutospacing="0"/>
              <w:ind w:left="108" w:right="0"/>
              <w:rPr>
                <w:rFonts w:hint="default"/>
                <w:b w:val="0"/>
                <w:bCs/>
                <w:color w:val="auto"/>
                <w:sz w:val="21"/>
                <w:highlight w:val="none"/>
              </w:rPr>
            </w:pPr>
            <w:r>
              <w:rPr>
                <w:rFonts w:hint="default"/>
                <w:b w:val="0"/>
                <w:bCs/>
                <w:color w:val="auto"/>
                <w:sz w:val="21"/>
                <w:highlight w:val="none"/>
              </w:rPr>
              <w:t>商务条款偏离表</w:t>
            </w:r>
          </w:p>
        </w:tc>
        <w:tc>
          <w:tcPr>
            <w:tcW w:w="2646" w:type="dxa"/>
            <w:noWrap w:val="0"/>
            <w:vAlign w:val="top"/>
          </w:tcPr>
          <w:p>
            <w:pPr>
              <w:pStyle w:val="134"/>
              <w:keepNext w:val="0"/>
              <w:keepLines w:val="0"/>
              <w:suppressLineNumbers w:val="0"/>
              <w:spacing w:before="0" w:beforeAutospacing="0" w:after="0" w:afterAutospacing="0" w:line="244" w:lineRule="auto"/>
              <w:ind w:left="108" w:right="106"/>
              <w:rPr>
                <w:rFonts w:hint="default"/>
                <w:b w:val="0"/>
                <w:bCs/>
                <w:color w:val="auto"/>
                <w:sz w:val="21"/>
                <w:highlight w:val="none"/>
              </w:rPr>
            </w:pPr>
            <w:bookmarkStart w:id="261" w:name="1、按给定格式及填表要求填写"/>
            <w:bookmarkEnd w:id="261"/>
            <w:r>
              <w:rPr>
                <w:rFonts w:hint="default"/>
                <w:b w:val="0"/>
                <w:bCs/>
                <w:color w:val="auto"/>
                <w:sz w:val="21"/>
                <w:highlight w:val="none"/>
              </w:rPr>
              <w:t>1、按给定格式及填表要求填写</w:t>
            </w:r>
          </w:p>
          <w:p>
            <w:pPr>
              <w:pStyle w:val="134"/>
              <w:keepNext w:val="0"/>
              <w:keepLines w:val="0"/>
              <w:suppressLineNumbers w:val="0"/>
              <w:spacing w:before="19" w:beforeAutospacing="0" w:after="0" w:afterAutospacing="0"/>
              <w:ind w:left="108" w:right="0"/>
              <w:rPr>
                <w:rFonts w:hint="default"/>
                <w:b w:val="0"/>
                <w:bCs/>
                <w:color w:val="auto"/>
                <w:sz w:val="21"/>
                <w:highlight w:val="none"/>
              </w:rPr>
            </w:pPr>
            <w:r>
              <w:rPr>
                <w:rFonts w:hint="default"/>
                <w:b w:val="0"/>
                <w:bCs/>
                <w:color w:val="auto"/>
                <w:sz w:val="21"/>
                <w:highlight w:val="none"/>
              </w:rPr>
              <w:t>2、响应招标文件实质性要求</w:t>
            </w:r>
          </w:p>
          <w:p>
            <w:pPr>
              <w:pStyle w:val="134"/>
              <w:keepNext w:val="0"/>
              <w:keepLines w:val="0"/>
              <w:suppressLineNumbers w:val="0"/>
              <w:spacing w:before="26" w:beforeAutospacing="0" w:after="0" w:afterAutospacing="0" w:line="252" w:lineRule="exact"/>
              <w:ind w:left="108" w:right="0"/>
              <w:rPr>
                <w:rFonts w:hint="default"/>
                <w:b w:val="0"/>
                <w:bCs/>
                <w:color w:val="auto"/>
                <w:sz w:val="21"/>
                <w:highlight w:val="none"/>
              </w:rPr>
            </w:pPr>
            <w:bookmarkStart w:id="262" w:name="3、按规定签章"/>
            <w:bookmarkEnd w:id="262"/>
            <w:r>
              <w:rPr>
                <w:rFonts w:hint="default"/>
                <w:b w:val="0"/>
                <w:bCs/>
                <w:color w:val="auto"/>
                <w:sz w:val="21"/>
                <w:highlight w:val="none"/>
              </w:rPr>
              <w:t>3、按规定签章</w:t>
            </w:r>
          </w:p>
        </w:tc>
        <w:tc>
          <w:tcPr>
            <w:tcW w:w="958" w:type="dxa"/>
            <w:noWrap w:val="0"/>
            <w:vAlign w:val="top"/>
          </w:tcPr>
          <w:p>
            <w:pPr>
              <w:pStyle w:val="134"/>
              <w:keepNext w:val="0"/>
              <w:keepLines w:val="0"/>
              <w:suppressLineNumbers w:val="0"/>
              <w:spacing w:before="0" w:beforeAutospacing="0" w:after="0" w:afterAutospacing="0"/>
              <w:ind w:left="0" w:right="0"/>
              <w:rPr>
                <w:rFonts w:hint="default" w:ascii="Times New Roman"/>
                <w:b w:val="0"/>
                <w:bCs/>
                <w:color w:val="auto"/>
                <w:sz w:val="20"/>
                <w:highlight w:val="none"/>
              </w:rPr>
            </w:pPr>
          </w:p>
        </w:tc>
        <w:tc>
          <w:tcPr>
            <w:tcW w:w="931" w:type="dxa"/>
            <w:noWrap w:val="0"/>
            <w:vAlign w:val="top"/>
          </w:tcPr>
          <w:p>
            <w:pPr>
              <w:pStyle w:val="134"/>
              <w:keepNext w:val="0"/>
              <w:keepLines w:val="0"/>
              <w:suppressLineNumbers w:val="0"/>
              <w:spacing w:before="0" w:beforeAutospacing="0" w:after="0" w:afterAutospacing="0"/>
              <w:ind w:left="0" w:right="0"/>
              <w:rPr>
                <w:rFonts w:hint="default" w:ascii="Times New Roman"/>
                <w:b w:val="0"/>
                <w:bCs/>
                <w:color w:val="auto"/>
                <w:sz w:val="20"/>
                <w:highlight w:val="none"/>
              </w:rPr>
            </w:pPr>
          </w:p>
        </w:tc>
        <w:tc>
          <w:tcPr>
            <w:tcW w:w="862" w:type="dxa"/>
            <w:noWrap w:val="0"/>
            <w:vAlign w:val="top"/>
          </w:tcPr>
          <w:p>
            <w:pPr>
              <w:pStyle w:val="134"/>
              <w:keepNext w:val="0"/>
              <w:keepLines w:val="0"/>
              <w:suppressLineNumbers w:val="0"/>
              <w:spacing w:before="0" w:beforeAutospacing="0" w:after="0" w:afterAutospacing="0"/>
              <w:ind w:left="0" w:right="0"/>
              <w:rPr>
                <w:rFonts w:hint="default"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612" w:type="dxa"/>
            <w:noWrap w:val="0"/>
            <w:vAlign w:val="top"/>
          </w:tcPr>
          <w:p>
            <w:pPr>
              <w:pStyle w:val="134"/>
              <w:keepNext w:val="0"/>
              <w:keepLines w:val="0"/>
              <w:suppressLineNumbers w:val="0"/>
              <w:spacing w:before="179" w:beforeAutospacing="0" w:after="0" w:afterAutospacing="0"/>
              <w:ind w:left="9" w:right="0"/>
              <w:jc w:val="center"/>
              <w:rPr>
                <w:rFonts w:hint="eastAsia" w:eastAsia="宋体"/>
                <w:b w:val="0"/>
                <w:bCs/>
                <w:color w:val="auto"/>
                <w:sz w:val="21"/>
                <w:highlight w:val="none"/>
                <w:lang w:eastAsia="zh-CN"/>
              </w:rPr>
            </w:pPr>
            <w:r>
              <w:rPr>
                <w:rFonts w:hint="eastAsia"/>
                <w:b w:val="0"/>
                <w:bCs/>
                <w:color w:val="auto"/>
                <w:w w:val="99"/>
                <w:sz w:val="21"/>
                <w:highlight w:val="none"/>
                <w:lang w:val="en-US" w:eastAsia="zh-CN"/>
              </w:rPr>
              <w:t>5</w:t>
            </w:r>
          </w:p>
        </w:tc>
        <w:tc>
          <w:tcPr>
            <w:tcW w:w="2169" w:type="dxa"/>
            <w:noWrap w:val="0"/>
            <w:vAlign w:val="top"/>
          </w:tcPr>
          <w:p>
            <w:pPr>
              <w:pStyle w:val="134"/>
              <w:keepNext w:val="0"/>
              <w:keepLines w:val="0"/>
              <w:suppressLineNumbers w:val="0"/>
              <w:spacing w:before="179" w:beforeAutospacing="0" w:after="0" w:afterAutospacing="0"/>
              <w:ind w:left="108" w:right="0"/>
              <w:rPr>
                <w:rFonts w:hint="default"/>
                <w:b w:val="0"/>
                <w:bCs/>
                <w:color w:val="auto"/>
                <w:sz w:val="21"/>
                <w:highlight w:val="none"/>
              </w:rPr>
            </w:pPr>
            <w:r>
              <w:rPr>
                <w:rFonts w:hint="eastAsia" w:ascii="宋体" w:hAnsi="宋体" w:cs="宋体"/>
                <w:color w:val="auto"/>
                <w:kern w:val="0"/>
                <w:highlight w:val="none"/>
                <w:lang w:val="en-US" w:eastAsia="zh-CN"/>
              </w:rPr>
              <w:t>供应商</w:t>
            </w:r>
            <w:r>
              <w:rPr>
                <w:rFonts w:hint="default"/>
                <w:b w:val="0"/>
                <w:bCs/>
                <w:color w:val="auto"/>
                <w:sz w:val="21"/>
                <w:highlight w:val="none"/>
              </w:rPr>
              <w:t>关联单位说明</w:t>
            </w:r>
          </w:p>
        </w:tc>
        <w:tc>
          <w:tcPr>
            <w:tcW w:w="2646" w:type="dxa"/>
            <w:noWrap w:val="0"/>
            <w:vAlign w:val="top"/>
          </w:tcPr>
          <w:p>
            <w:pPr>
              <w:pStyle w:val="134"/>
              <w:keepNext w:val="0"/>
              <w:keepLines w:val="0"/>
              <w:suppressLineNumbers w:val="0"/>
              <w:spacing w:before="179" w:beforeAutospacing="0" w:after="0" w:afterAutospacing="0"/>
              <w:ind w:left="108" w:right="0"/>
              <w:rPr>
                <w:rFonts w:hint="default"/>
                <w:b w:val="0"/>
                <w:bCs/>
                <w:color w:val="auto"/>
                <w:sz w:val="21"/>
                <w:highlight w:val="none"/>
              </w:rPr>
            </w:pPr>
            <w:bookmarkStart w:id="263" w:name="无投标须知1.5所述情形"/>
            <w:bookmarkEnd w:id="263"/>
            <w:r>
              <w:rPr>
                <w:rFonts w:hint="default"/>
                <w:b w:val="0"/>
                <w:bCs/>
                <w:color w:val="auto"/>
                <w:sz w:val="21"/>
                <w:highlight w:val="none"/>
              </w:rPr>
              <w:t>无</w:t>
            </w:r>
            <w:r>
              <w:rPr>
                <w:rFonts w:hint="eastAsia"/>
                <w:b w:val="0"/>
                <w:bCs/>
                <w:color w:val="auto"/>
                <w:sz w:val="21"/>
                <w:highlight w:val="none"/>
                <w:lang w:val="en-US" w:eastAsia="zh-CN"/>
              </w:rPr>
              <w:t>磋商</w:t>
            </w:r>
            <w:r>
              <w:rPr>
                <w:rFonts w:hint="default"/>
                <w:b w:val="0"/>
                <w:bCs/>
                <w:color w:val="auto"/>
                <w:sz w:val="21"/>
                <w:highlight w:val="none"/>
              </w:rPr>
              <w:t>须知 1.5 所述情形</w:t>
            </w:r>
          </w:p>
        </w:tc>
        <w:tc>
          <w:tcPr>
            <w:tcW w:w="958" w:type="dxa"/>
            <w:noWrap w:val="0"/>
            <w:vAlign w:val="top"/>
          </w:tcPr>
          <w:p>
            <w:pPr>
              <w:pStyle w:val="134"/>
              <w:keepNext w:val="0"/>
              <w:keepLines w:val="0"/>
              <w:suppressLineNumbers w:val="0"/>
              <w:spacing w:before="0" w:beforeAutospacing="0" w:after="0" w:afterAutospacing="0"/>
              <w:ind w:left="0" w:right="0"/>
              <w:rPr>
                <w:rFonts w:hint="default" w:ascii="Times New Roman"/>
                <w:b w:val="0"/>
                <w:bCs/>
                <w:color w:val="auto"/>
                <w:sz w:val="20"/>
                <w:highlight w:val="none"/>
              </w:rPr>
            </w:pPr>
          </w:p>
        </w:tc>
        <w:tc>
          <w:tcPr>
            <w:tcW w:w="931" w:type="dxa"/>
            <w:noWrap w:val="0"/>
            <w:vAlign w:val="top"/>
          </w:tcPr>
          <w:p>
            <w:pPr>
              <w:pStyle w:val="134"/>
              <w:keepNext w:val="0"/>
              <w:keepLines w:val="0"/>
              <w:suppressLineNumbers w:val="0"/>
              <w:spacing w:before="0" w:beforeAutospacing="0" w:after="0" w:afterAutospacing="0"/>
              <w:ind w:left="0" w:right="0"/>
              <w:rPr>
                <w:rFonts w:hint="default" w:ascii="Times New Roman"/>
                <w:b w:val="0"/>
                <w:bCs/>
                <w:color w:val="auto"/>
                <w:sz w:val="20"/>
                <w:highlight w:val="none"/>
              </w:rPr>
            </w:pPr>
          </w:p>
        </w:tc>
        <w:tc>
          <w:tcPr>
            <w:tcW w:w="862" w:type="dxa"/>
            <w:noWrap w:val="0"/>
            <w:vAlign w:val="top"/>
          </w:tcPr>
          <w:p>
            <w:pPr>
              <w:pStyle w:val="134"/>
              <w:keepNext w:val="0"/>
              <w:keepLines w:val="0"/>
              <w:suppressLineNumbers w:val="0"/>
              <w:spacing w:before="0" w:beforeAutospacing="0" w:after="0" w:afterAutospacing="0"/>
              <w:ind w:left="0" w:right="0"/>
              <w:rPr>
                <w:rFonts w:hint="default" w:ascii="Times New Roman"/>
                <w:color w:val="auto"/>
                <w:sz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 w:hRule="atLeast"/>
        </w:trPr>
        <w:tc>
          <w:tcPr>
            <w:tcW w:w="612" w:type="dxa"/>
            <w:noWrap w:val="0"/>
            <w:vAlign w:val="top"/>
          </w:tcPr>
          <w:p>
            <w:pPr>
              <w:pStyle w:val="134"/>
              <w:keepNext w:val="0"/>
              <w:keepLines w:val="0"/>
              <w:suppressLineNumbers w:val="0"/>
              <w:spacing w:before="0" w:beforeAutospacing="0" w:after="0" w:afterAutospacing="0"/>
              <w:ind w:left="0" w:right="0"/>
              <w:rPr>
                <w:rFonts w:hint="default" w:ascii="Times New Roman"/>
                <w:b w:val="0"/>
                <w:bCs/>
                <w:color w:val="auto"/>
                <w:sz w:val="20"/>
                <w:highlight w:val="none"/>
              </w:rPr>
            </w:pPr>
          </w:p>
        </w:tc>
        <w:tc>
          <w:tcPr>
            <w:tcW w:w="2169" w:type="dxa"/>
            <w:noWrap w:val="0"/>
            <w:vAlign w:val="top"/>
          </w:tcPr>
          <w:p>
            <w:pPr>
              <w:pStyle w:val="134"/>
              <w:keepNext w:val="0"/>
              <w:keepLines w:val="0"/>
              <w:suppressLineNumbers w:val="0"/>
              <w:spacing w:before="44" w:beforeAutospacing="0" w:after="0" w:afterAutospacing="0"/>
              <w:ind w:left="956" w:right="950"/>
              <w:jc w:val="center"/>
              <w:rPr>
                <w:rFonts w:hint="default"/>
                <w:b w:val="0"/>
                <w:bCs/>
                <w:color w:val="auto"/>
                <w:sz w:val="21"/>
                <w:highlight w:val="none"/>
              </w:rPr>
            </w:pPr>
            <w:r>
              <w:rPr>
                <w:rFonts w:hint="default"/>
                <w:b w:val="0"/>
                <w:bCs/>
                <w:color w:val="auto"/>
                <w:sz w:val="21"/>
                <w:highlight w:val="none"/>
              </w:rPr>
              <w:t>结论</w:t>
            </w:r>
          </w:p>
        </w:tc>
        <w:tc>
          <w:tcPr>
            <w:tcW w:w="2646" w:type="dxa"/>
            <w:noWrap w:val="0"/>
            <w:vAlign w:val="top"/>
          </w:tcPr>
          <w:p>
            <w:pPr>
              <w:pStyle w:val="134"/>
              <w:keepNext w:val="0"/>
              <w:keepLines w:val="0"/>
              <w:suppressLineNumbers w:val="0"/>
              <w:spacing w:before="0" w:beforeAutospacing="0" w:after="0" w:afterAutospacing="0"/>
              <w:ind w:left="0" w:right="0"/>
              <w:rPr>
                <w:rFonts w:hint="default" w:ascii="Times New Roman"/>
                <w:b w:val="0"/>
                <w:bCs/>
                <w:color w:val="auto"/>
                <w:sz w:val="20"/>
                <w:highlight w:val="none"/>
              </w:rPr>
            </w:pPr>
          </w:p>
        </w:tc>
        <w:tc>
          <w:tcPr>
            <w:tcW w:w="958" w:type="dxa"/>
            <w:noWrap w:val="0"/>
            <w:vAlign w:val="top"/>
          </w:tcPr>
          <w:p>
            <w:pPr>
              <w:pStyle w:val="134"/>
              <w:keepNext w:val="0"/>
              <w:keepLines w:val="0"/>
              <w:suppressLineNumbers w:val="0"/>
              <w:spacing w:before="0" w:beforeAutospacing="0" w:after="0" w:afterAutospacing="0"/>
              <w:ind w:left="0" w:right="0"/>
              <w:rPr>
                <w:rFonts w:hint="default" w:ascii="Times New Roman"/>
                <w:b w:val="0"/>
                <w:bCs/>
                <w:color w:val="auto"/>
                <w:sz w:val="20"/>
                <w:highlight w:val="none"/>
              </w:rPr>
            </w:pPr>
          </w:p>
        </w:tc>
        <w:tc>
          <w:tcPr>
            <w:tcW w:w="931" w:type="dxa"/>
            <w:noWrap w:val="0"/>
            <w:vAlign w:val="top"/>
          </w:tcPr>
          <w:p>
            <w:pPr>
              <w:pStyle w:val="134"/>
              <w:keepNext w:val="0"/>
              <w:keepLines w:val="0"/>
              <w:suppressLineNumbers w:val="0"/>
              <w:spacing w:before="0" w:beforeAutospacing="0" w:after="0" w:afterAutospacing="0"/>
              <w:ind w:left="0" w:right="0"/>
              <w:rPr>
                <w:rFonts w:hint="default" w:ascii="Times New Roman"/>
                <w:b w:val="0"/>
                <w:bCs/>
                <w:color w:val="auto"/>
                <w:sz w:val="20"/>
                <w:highlight w:val="none"/>
              </w:rPr>
            </w:pPr>
          </w:p>
        </w:tc>
        <w:tc>
          <w:tcPr>
            <w:tcW w:w="862" w:type="dxa"/>
            <w:noWrap w:val="0"/>
            <w:vAlign w:val="top"/>
          </w:tcPr>
          <w:p>
            <w:pPr>
              <w:pStyle w:val="134"/>
              <w:keepNext w:val="0"/>
              <w:keepLines w:val="0"/>
              <w:suppressLineNumbers w:val="0"/>
              <w:spacing w:before="0" w:beforeAutospacing="0" w:after="0" w:afterAutospacing="0"/>
              <w:ind w:left="0" w:right="0"/>
              <w:rPr>
                <w:rFonts w:hint="default" w:ascii="Times New Roman"/>
                <w:color w:val="auto"/>
                <w:sz w:val="20"/>
                <w:highlight w:val="none"/>
              </w:rPr>
            </w:pPr>
          </w:p>
        </w:tc>
      </w:tr>
    </w:tbl>
    <w:p>
      <w:pPr>
        <w:rPr>
          <w:rFonts w:hint="eastAsia" w:ascii="宋体" w:hAnsi="宋体" w:eastAsia="宋体" w:cs="宋体"/>
          <w:color w:val="auto"/>
          <w:highlight w:val="none"/>
        </w:rPr>
      </w:pPr>
      <w:r>
        <w:rPr>
          <w:rFonts w:hint="eastAsia" w:ascii="宋体" w:hAnsi="宋体" w:eastAsia="宋体" w:cs="宋体"/>
          <w:color w:val="auto"/>
          <w:highlight w:val="none"/>
        </w:rPr>
        <w:t>填表说明：1、每项内容审查合格，在表中填写“√”；不合格填写“×”</w: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2、审查结论填写“通过”或“不通过”</w:t>
      </w:r>
    </w:p>
    <w:p>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审查人签字：</w:t>
      </w:r>
    </w:p>
    <w:p>
      <w:pPr>
        <w:spacing w:line="480" w:lineRule="auto"/>
        <w:rPr>
          <w:rFonts w:hint="eastAsia" w:ascii="宋体" w:hAnsi="宋体" w:eastAsia="宋体" w:cs="宋体"/>
          <w:color w:val="auto"/>
          <w:highlight w:val="none"/>
        </w:rPr>
        <w:sectPr>
          <w:footerReference r:id="rId7" w:type="default"/>
          <w:pgSz w:w="11906" w:h="16838"/>
          <w:pgMar w:top="1440" w:right="1803" w:bottom="1440" w:left="1803" w:header="851" w:footer="992" w:gutter="0"/>
          <w:pgNumType w:fmt="decimal"/>
          <w:cols w:space="720" w:num="1"/>
          <w:docGrid w:type="lines" w:linePitch="319" w:charSpace="0"/>
        </w:sectPr>
      </w:pPr>
      <w:r>
        <w:rPr>
          <w:rFonts w:hint="eastAsia" w:ascii="宋体" w:hAnsi="宋体" w:eastAsia="宋体" w:cs="宋体"/>
          <w:color w:val="auto"/>
          <w:highlight w:val="none"/>
        </w:rPr>
        <w:t>日      期：</w:t>
      </w:r>
    </w:p>
    <w:p>
      <w:pPr>
        <w:pStyle w:val="7"/>
        <w:adjustRightInd w:val="0"/>
        <w:snapToGrid w:val="0"/>
        <w:spacing w:before="0" w:after="0" w:line="240" w:lineRule="auto"/>
        <w:jc w:val="left"/>
        <w:rPr>
          <w:rFonts w:hint="eastAsia" w:ascii="宋体" w:hAnsi="宋体" w:eastAsia="宋体" w:cs="宋体"/>
          <w:color w:val="auto"/>
          <w:sz w:val="28"/>
          <w:szCs w:val="28"/>
          <w:highlight w:val="none"/>
        </w:rPr>
      </w:pPr>
      <w:bookmarkStart w:id="264" w:name="_Toc17433_WPSOffice_Level2"/>
    </w:p>
    <w:p>
      <w:pPr>
        <w:pStyle w:val="7"/>
        <w:adjustRightInd w:val="0"/>
        <w:snapToGrid w:val="0"/>
        <w:spacing w:before="0" w:after="0" w:line="240" w:lineRule="auto"/>
        <w:jc w:val="left"/>
        <w:rPr>
          <w:rFonts w:hint="eastAsia" w:ascii="宋体" w:hAnsi="宋体" w:eastAsia="宋体" w:cs="宋体"/>
          <w:color w:val="auto"/>
          <w:sz w:val="28"/>
          <w:szCs w:val="28"/>
          <w:highlight w:val="none"/>
        </w:rPr>
      </w:pPr>
    </w:p>
    <w:p>
      <w:pPr>
        <w:pStyle w:val="7"/>
        <w:adjustRightInd w:val="0"/>
        <w:snapToGrid w:val="0"/>
        <w:spacing w:before="0" w:after="0" w:line="240" w:lineRule="auto"/>
        <w:jc w:val="left"/>
        <w:rPr>
          <w:rFonts w:hint="eastAsia" w:ascii="宋体" w:hAnsi="宋体" w:eastAsia="宋体" w:cs="宋体"/>
          <w:color w:val="auto"/>
          <w:sz w:val="28"/>
          <w:szCs w:val="28"/>
          <w:highlight w:val="none"/>
        </w:rPr>
        <w:sectPr>
          <w:footerReference r:id="rId8" w:type="default"/>
          <w:footerReference r:id="rId9" w:type="even"/>
          <w:type w:val="continuous"/>
          <w:pgSz w:w="11906" w:h="16838"/>
          <w:pgMar w:top="1440" w:right="1800" w:bottom="1440" w:left="1800" w:header="720" w:footer="998" w:gutter="0"/>
          <w:pgNumType w:fmt="decimal"/>
          <w:cols w:space="720" w:num="1"/>
          <w:titlePg/>
          <w:docGrid w:linePitch="326" w:charSpace="0"/>
        </w:sectPr>
      </w:pPr>
    </w:p>
    <w:p>
      <w:pPr>
        <w:pStyle w:val="7"/>
        <w:adjustRightInd w:val="0"/>
        <w:snapToGrid w:val="0"/>
        <w:spacing w:before="0" w:after="0" w:line="240" w:lineRule="auto"/>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附件3</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评分细则</w:t>
      </w:r>
      <w:bookmarkEnd w:id="264"/>
    </w:p>
    <w:p>
      <w:pPr>
        <w:jc w:val="left"/>
        <w:rPr>
          <w:rFonts w:hint="eastAsia" w:ascii="宋体" w:hAnsi="宋体" w:eastAsia="宋体" w:cs="宋体"/>
          <w:b/>
          <w:color w:val="auto"/>
          <w:sz w:val="28"/>
          <w:szCs w:val="28"/>
          <w:highlight w:val="none"/>
        </w:rPr>
      </w:pPr>
      <w:r>
        <w:rPr>
          <w:rFonts w:hint="eastAsia" w:ascii="宋体" w:hAnsi="宋体" w:eastAsia="宋体" w:cs="宋体"/>
          <w:b/>
          <w:color w:val="auto"/>
          <w:szCs w:val="21"/>
          <w:highlight w:val="none"/>
        </w:rPr>
        <w:t>（一）基本评分标准</w:t>
      </w:r>
    </w:p>
    <w:tbl>
      <w:tblPr>
        <w:tblStyle w:val="40"/>
        <w:tblpPr w:leftFromText="180" w:rightFromText="180" w:vertAnchor="text" w:horzAnchor="margin" w:tblpXSpec="center" w:tblpY="10"/>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294"/>
        <w:gridCol w:w="5594"/>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包号</w:t>
            </w:r>
          </w:p>
        </w:tc>
        <w:tc>
          <w:tcPr>
            <w:tcW w:w="7782" w:type="dxa"/>
            <w:gridSpan w:val="3"/>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cs="宋体"/>
                <w:color w:val="auto"/>
                <w:kern w:val="2"/>
                <w:sz w:val="22"/>
                <w:szCs w:val="22"/>
                <w:highlight w:val="none"/>
                <w:lang w:val="en-US" w:eastAsia="zh-CN"/>
              </w:rPr>
              <w:t>0</w:t>
            </w:r>
            <w:r>
              <w:rPr>
                <w:rFonts w:hint="eastAsia" w:ascii="宋体" w:hAnsi="宋体" w:eastAsia="宋体" w:cs="宋体"/>
                <w:color w:val="auto"/>
                <w:kern w:val="2"/>
                <w:sz w:val="22"/>
                <w:szCs w:val="22"/>
                <w:highlight w:val="none"/>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项目</w:t>
            </w:r>
          </w:p>
        </w:tc>
        <w:tc>
          <w:tcPr>
            <w:tcW w:w="129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分项名称</w:t>
            </w:r>
          </w:p>
        </w:tc>
        <w:tc>
          <w:tcPr>
            <w:tcW w:w="559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评分标准</w:t>
            </w:r>
          </w:p>
        </w:tc>
        <w:tc>
          <w:tcPr>
            <w:tcW w:w="89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trPr>
        <w:tc>
          <w:tcPr>
            <w:tcW w:w="1276" w:type="dxa"/>
            <w:tcBorders>
              <w:top w:val="single" w:color="auto" w:sz="4" w:space="0"/>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价格部分</w:t>
            </w:r>
          </w:p>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1294" w:type="dxa"/>
            <w:tcBorders>
              <w:top w:val="single" w:color="auto" w:sz="4" w:space="0"/>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报价</w:t>
            </w:r>
          </w:p>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lang w:eastAsia="zh-CN"/>
              </w:rPr>
            </w:pPr>
            <w:r>
              <w:rPr>
                <w:rFonts w:hint="eastAsia" w:cs="宋体"/>
                <w:color w:val="auto"/>
                <w:kern w:val="2"/>
                <w:sz w:val="22"/>
                <w:szCs w:val="22"/>
                <w:highlight w:val="none"/>
                <w:lang w:eastAsia="zh-CN"/>
              </w:rPr>
              <w:t>（</w:t>
            </w:r>
            <w:r>
              <w:rPr>
                <w:rFonts w:hint="eastAsia" w:cs="宋体"/>
                <w:color w:val="auto"/>
                <w:kern w:val="2"/>
                <w:sz w:val="22"/>
                <w:szCs w:val="22"/>
                <w:highlight w:val="none"/>
                <w:lang w:val="en-US" w:eastAsia="zh-CN"/>
              </w:rPr>
              <w:t>30分</w:t>
            </w:r>
            <w:r>
              <w:rPr>
                <w:rFonts w:hint="eastAsia" w:cs="宋体"/>
                <w:color w:val="auto"/>
                <w:kern w:val="2"/>
                <w:sz w:val="22"/>
                <w:szCs w:val="22"/>
                <w:highlight w:val="none"/>
                <w:lang w:eastAsia="zh-CN"/>
              </w:rPr>
              <w:t>）</w:t>
            </w:r>
          </w:p>
        </w:tc>
        <w:tc>
          <w:tcPr>
            <w:tcW w:w="5594" w:type="dxa"/>
            <w:tcBorders>
              <w:top w:val="single" w:color="auto" w:sz="4" w:space="0"/>
              <w:left w:val="single" w:color="auto" w:sz="4" w:space="0"/>
              <w:right w:val="single" w:color="auto" w:sz="4" w:space="0"/>
            </w:tcBorders>
            <w:noWrap w:val="0"/>
            <w:vAlign w:val="center"/>
          </w:tcPr>
          <w:p>
            <w:pPr>
              <w:pStyle w:val="36"/>
              <w:keepNext w:val="0"/>
              <w:keepLines w:val="0"/>
              <w:suppressLineNumbers w:val="0"/>
              <w:snapToGrid w:val="0"/>
              <w:spacing w:before="0" w:beforeAutospacing="0" w:after="0" w:afterAutospacing="0" w:line="360" w:lineRule="exact"/>
              <w:ind w:left="0" w:right="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满足磋商文件要求且最后报价最低的供应商的价格为磋商基准价，其价格分为满分</w:t>
            </w:r>
            <w:r>
              <w:rPr>
                <w:rFonts w:hint="eastAsia" w:cs="宋体"/>
                <w:color w:val="auto"/>
                <w:kern w:val="2"/>
                <w:sz w:val="22"/>
                <w:szCs w:val="22"/>
                <w:highlight w:val="none"/>
                <w:lang w:val="en-US" w:eastAsia="zh-CN"/>
              </w:rPr>
              <w:t>30</w:t>
            </w:r>
            <w:r>
              <w:rPr>
                <w:rFonts w:hint="eastAsia" w:ascii="宋体" w:hAnsi="宋体" w:eastAsia="宋体" w:cs="宋体"/>
                <w:color w:val="auto"/>
                <w:kern w:val="2"/>
                <w:sz w:val="22"/>
                <w:szCs w:val="22"/>
                <w:highlight w:val="none"/>
              </w:rPr>
              <w:t>分。其他供应商的价格分统一按照下列公式计算：磋商报价得分=（磋商基准价/供应商的最后磋商报价）×</w:t>
            </w:r>
            <w:r>
              <w:rPr>
                <w:rFonts w:hint="eastAsia" w:cs="宋体"/>
                <w:color w:val="auto"/>
                <w:kern w:val="2"/>
                <w:sz w:val="22"/>
                <w:szCs w:val="22"/>
                <w:highlight w:val="none"/>
                <w:lang w:val="en-US" w:eastAsia="zh-CN"/>
              </w:rPr>
              <w:t>3</w:t>
            </w:r>
            <w:r>
              <w:rPr>
                <w:rFonts w:hint="eastAsia" w:ascii="宋体" w:hAnsi="宋体" w:eastAsia="宋体" w:cs="宋体"/>
                <w:color w:val="auto"/>
                <w:kern w:val="2"/>
                <w:sz w:val="22"/>
                <w:szCs w:val="22"/>
                <w:highlight w:val="none"/>
              </w:rPr>
              <w:t>0。得分保留至小数点后两位，第三位四舍五入。</w:t>
            </w:r>
          </w:p>
          <w:p>
            <w:pPr>
              <w:keepNext w:val="0"/>
              <w:keepLines w:val="0"/>
              <w:suppressLineNumbers w:val="0"/>
              <w:adjustRightInd w:val="0"/>
              <w:snapToGrid w:val="0"/>
              <w:spacing w:before="0" w:beforeAutospacing="0" w:after="0" w:afterAutospacing="0" w:line="360" w:lineRule="exact"/>
              <w:ind w:left="0" w:right="0"/>
              <w:jc w:val="left"/>
              <w:rPr>
                <w:rFonts w:hint="eastAsia" w:ascii="宋体" w:hAnsi="宋体" w:eastAsia="宋体" w:cs="宋体"/>
                <w:b/>
                <w:bCs/>
                <w:color w:val="auto"/>
                <w:kern w:val="0"/>
                <w:sz w:val="22"/>
                <w:szCs w:val="22"/>
                <w:highlight w:val="none"/>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cs="宋体"/>
                <w:color w:val="auto"/>
                <w:kern w:val="2"/>
                <w:sz w:val="22"/>
                <w:szCs w:val="22"/>
                <w:highlight w:val="none"/>
                <w:lang w:val="en-US" w:eastAsia="zh-CN"/>
              </w:rPr>
              <w:t>3</w:t>
            </w:r>
            <w:r>
              <w:rPr>
                <w:rFonts w:hint="eastAsia" w:ascii="宋体" w:hAnsi="宋体" w:eastAsia="宋体" w:cs="宋体"/>
                <w:color w:val="auto"/>
                <w:kern w:val="2"/>
                <w:sz w:val="22"/>
                <w:szCs w:val="22"/>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6" w:type="dxa"/>
            <w:vMerge w:val="restart"/>
            <w:tcBorders>
              <w:top w:val="single" w:color="auto" w:sz="4" w:space="0"/>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技术部分</w:t>
            </w:r>
          </w:p>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1294" w:type="dxa"/>
            <w:vMerge w:val="restart"/>
            <w:tcBorders>
              <w:top w:val="single" w:color="auto" w:sz="4" w:space="0"/>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施工组织</w:t>
            </w:r>
          </w:p>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计划</w:t>
            </w:r>
          </w:p>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lang w:eastAsia="zh-CN"/>
              </w:rPr>
            </w:pPr>
            <w:r>
              <w:rPr>
                <w:rFonts w:hint="eastAsia" w:cs="宋体"/>
                <w:color w:val="auto"/>
                <w:kern w:val="2"/>
                <w:sz w:val="22"/>
                <w:szCs w:val="22"/>
                <w:highlight w:val="none"/>
                <w:lang w:eastAsia="zh-CN"/>
              </w:rPr>
              <w:t>（</w:t>
            </w:r>
            <w:r>
              <w:rPr>
                <w:rFonts w:hint="eastAsia" w:cs="宋体"/>
                <w:color w:val="auto"/>
                <w:kern w:val="2"/>
                <w:sz w:val="22"/>
                <w:szCs w:val="22"/>
                <w:highlight w:val="none"/>
                <w:lang w:val="en-US" w:eastAsia="zh-CN"/>
              </w:rPr>
              <w:t>56分</w:t>
            </w:r>
            <w:r>
              <w:rPr>
                <w:rFonts w:hint="eastAsia" w:cs="宋体"/>
                <w:color w:val="auto"/>
                <w:kern w:val="2"/>
                <w:sz w:val="22"/>
                <w:szCs w:val="22"/>
                <w:highlight w:val="none"/>
                <w:lang w:eastAsia="zh-CN"/>
              </w:rPr>
              <w:t>）</w:t>
            </w:r>
          </w:p>
        </w:tc>
        <w:tc>
          <w:tcPr>
            <w:tcW w:w="5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内容完整性和编制水平是否科学、合理、全面。</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内容科学合理、安排全面、详尽得</w:t>
            </w:r>
            <w:r>
              <w:rPr>
                <w:rFonts w:hint="eastAsia" w:hAnsi="宋体" w:cs="宋体"/>
                <w:color w:val="auto"/>
                <w:sz w:val="22"/>
                <w:szCs w:val="22"/>
                <w:highlight w:val="none"/>
                <w:lang w:val="en-US" w:eastAsia="zh-CN"/>
              </w:rPr>
              <w:t>3</w:t>
            </w:r>
            <w:r>
              <w:rPr>
                <w:rFonts w:hint="eastAsia" w:ascii="宋体" w:hAnsi="宋体" w:eastAsia="宋体" w:cs="宋体"/>
                <w:color w:val="auto"/>
                <w:sz w:val="22"/>
                <w:szCs w:val="22"/>
                <w:highlight w:val="none"/>
              </w:rPr>
              <w:t>-</w:t>
            </w: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内容基本合理、安排较全面得</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rPr>
              <w:t>-</w:t>
            </w:r>
            <w:r>
              <w:rPr>
                <w:rFonts w:hint="eastAsia"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内容合理</w:t>
            </w:r>
            <w:r>
              <w:rPr>
                <w:rFonts w:hint="eastAsia" w:hAnsi="宋体" w:cs="宋体"/>
                <w:color w:val="auto"/>
                <w:sz w:val="22"/>
                <w:szCs w:val="22"/>
                <w:highlight w:val="none"/>
                <w:lang w:val="en-US" w:eastAsia="zh-CN"/>
              </w:rPr>
              <w:t>性差</w:t>
            </w:r>
            <w:r>
              <w:rPr>
                <w:rFonts w:hint="eastAsia" w:ascii="宋体" w:hAnsi="宋体" w:eastAsia="宋体" w:cs="宋体"/>
                <w:color w:val="auto"/>
                <w:sz w:val="22"/>
                <w:szCs w:val="22"/>
                <w:highlight w:val="none"/>
              </w:rPr>
              <w:t>、安排全面</w:t>
            </w:r>
            <w:r>
              <w:rPr>
                <w:rFonts w:hint="eastAsia" w:hAnsi="宋体" w:cs="宋体"/>
                <w:color w:val="auto"/>
                <w:sz w:val="22"/>
                <w:szCs w:val="22"/>
                <w:highlight w:val="none"/>
                <w:lang w:val="en-US" w:eastAsia="zh-CN"/>
              </w:rPr>
              <w:t>性差</w:t>
            </w:r>
            <w:r>
              <w:rPr>
                <w:rFonts w:hint="eastAsia" w:ascii="宋体" w:hAnsi="宋体" w:eastAsia="宋体" w:cs="宋体"/>
                <w:color w:val="auto"/>
                <w:sz w:val="22"/>
                <w:szCs w:val="22"/>
                <w:highlight w:val="none"/>
              </w:rPr>
              <w:t>得1分；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未设置得0分。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lang w:eastAsia="zh-CN"/>
              </w:rPr>
            </w:pPr>
            <w:r>
              <w:rPr>
                <w:rFonts w:hint="eastAsia" w:cs="宋体"/>
                <w:color w:val="auto"/>
                <w:kern w:val="2"/>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6" w:type="dxa"/>
            <w:vMerge w:val="continue"/>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1294" w:type="dxa"/>
            <w:vMerge w:val="continue"/>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5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施工方案与技术措施对本工程是否有针对性、合理、可行。</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内容清晰合理、措施有针对性、可行得3-</w:t>
            </w: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内容基本合理、措施基本有针对性得</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rPr>
              <w:t>-3分；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内容合理</w:t>
            </w:r>
            <w:r>
              <w:rPr>
                <w:rFonts w:hint="eastAsia" w:hAnsi="宋体" w:cs="宋体"/>
                <w:color w:val="auto"/>
                <w:sz w:val="22"/>
                <w:szCs w:val="22"/>
                <w:highlight w:val="none"/>
                <w:lang w:val="en-US" w:eastAsia="zh-CN"/>
              </w:rPr>
              <w:t>性差</w:t>
            </w:r>
            <w:r>
              <w:rPr>
                <w:rFonts w:hint="eastAsia" w:ascii="宋体" w:hAnsi="宋体" w:eastAsia="宋体" w:cs="宋体"/>
                <w:color w:val="auto"/>
                <w:sz w:val="22"/>
                <w:szCs w:val="22"/>
                <w:highlight w:val="none"/>
              </w:rPr>
              <w:t>、措施针对性</w:t>
            </w:r>
            <w:r>
              <w:rPr>
                <w:rFonts w:hint="eastAsia" w:hAnsi="宋体" w:cs="宋体"/>
                <w:color w:val="auto"/>
                <w:sz w:val="22"/>
                <w:szCs w:val="22"/>
                <w:highlight w:val="none"/>
                <w:lang w:val="en-US" w:eastAsia="zh-CN"/>
              </w:rPr>
              <w:t>差</w:t>
            </w:r>
            <w:r>
              <w:rPr>
                <w:rFonts w:hint="eastAsia" w:ascii="宋体" w:hAnsi="宋体" w:eastAsia="宋体" w:cs="宋体"/>
                <w:color w:val="auto"/>
                <w:sz w:val="22"/>
                <w:szCs w:val="22"/>
                <w:highlight w:val="none"/>
              </w:rPr>
              <w:t>得1分；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未设置得0分。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lang w:eastAsia="zh-CN"/>
              </w:rPr>
            </w:pPr>
            <w:r>
              <w:rPr>
                <w:rFonts w:hint="eastAsia" w:cs="宋体"/>
                <w:color w:val="auto"/>
                <w:kern w:val="2"/>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6" w:type="dxa"/>
            <w:vMerge w:val="continue"/>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1294" w:type="dxa"/>
            <w:vMerge w:val="continue"/>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5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重点部位上的施工组织措施、施工技术解决的具体方案。</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内容清晰合理、措施有针对性、可行得3-</w:t>
            </w: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内容基本合理、措施基本有针对性得</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rPr>
              <w:t>-3分；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内容合理</w:t>
            </w:r>
            <w:r>
              <w:rPr>
                <w:rFonts w:hint="eastAsia" w:hAnsi="宋体" w:cs="宋体"/>
                <w:color w:val="auto"/>
                <w:sz w:val="22"/>
                <w:szCs w:val="22"/>
                <w:highlight w:val="none"/>
                <w:lang w:val="en-US" w:eastAsia="zh-CN"/>
              </w:rPr>
              <w:t>性差</w:t>
            </w:r>
            <w:r>
              <w:rPr>
                <w:rFonts w:hint="eastAsia" w:ascii="宋体" w:hAnsi="宋体" w:eastAsia="宋体" w:cs="宋体"/>
                <w:color w:val="auto"/>
                <w:sz w:val="22"/>
                <w:szCs w:val="22"/>
                <w:highlight w:val="none"/>
              </w:rPr>
              <w:t>、措施针对性</w:t>
            </w:r>
            <w:r>
              <w:rPr>
                <w:rFonts w:hint="eastAsia" w:hAnsi="宋体" w:cs="宋体"/>
                <w:color w:val="auto"/>
                <w:sz w:val="22"/>
                <w:szCs w:val="22"/>
                <w:highlight w:val="none"/>
                <w:lang w:val="en-US" w:eastAsia="zh-CN"/>
              </w:rPr>
              <w:t>差</w:t>
            </w:r>
            <w:r>
              <w:rPr>
                <w:rFonts w:hint="eastAsia" w:ascii="宋体" w:hAnsi="宋体" w:eastAsia="宋体" w:cs="宋体"/>
                <w:color w:val="auto"/>
                <w:sz w:val="22"/>
                <w:szCs w:val="22"/>
                <w:highlight w:val="none"/>
              </w:rPr>
              <w:t>得1分；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未设置得0分。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lang w:eastAsia="zh-CN"/>
              </w:rPr>
            </w:pPr>
            <w:r>
              <w:rPr>
                <w:rFonts w:hint="eastAsia" w:cs="宋体"/>
                <w:color w:val="auto"/>
                <w:kern w:val="2"/>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6" w:type="dxa"/>
            <w:vMerge w:val="continue"/>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1294" w:type="dxa"/>
            <w:vMerge w:val="continue"/>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5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施工平面、临时设施布置合理。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科学、合理得3-</w:t>
            </w: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合理、较可行得</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rPr>
              <w:t>-3分；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合理</w:t>
            </w:r>
            <w:r>
              <w:rPr>
                <w:rFonts w:hint="eastAsia" w:hAnsi="宋体" w:cs="宋体"/>
                <w:color w:val="auto"/>
                <w:sz w:val="22"/>
                <w:szCs w:val="22"/>
                <w:highlight w:val="none"/>
                <w:lang w:val="en-US" w:eastAsia="zh-CN"/>
              </w:rPr>
              <w:t>性差</w:t>
            </w:r>
            <w:r>
              <w:rPr>
                <w:rFonts w:hint="eastAsia" w:ascii="宋体" w:hAnsi="宋体" w:eastAsia="宋体" w:cs="宋体"/>
                <w:color w:val="auto"/>
                <w:sz w:val="22"/>
                <w:szCs w:val="22"/>
                <w:highlight w:val="none"/>
              </w:rPr>
              <w:t>、可行</w:t>
            </w:r>
            <w:r>
              <w:rPr>
                <w:rFonts w:hint="eastAsia" w:hAnsi="宋体" w:cs="宋体"/>
                <w:color w:val="auto"/>
                <w:sz w:val="22"/>
                <w:szCs w:val="22"/>
                <w:highlight w:val="none"/>
                <w:lang w:val="en-US" w:eastAsia="zh-CN"/>
              </w:rPr>
              <w:t>性差</w:t>
            </w:r>
            <w:r>
              <w:rPr>
                <w:rFonts w:hint="eastAsia" w:ascii="宋体" w:hAnsi="宋体" w:eastAsia="宋体" w:cs="宋体"/>
                <w:color w:val="auto"/>
                <w:sz w:val="22"/>
                <w:szCs w:val="22"/>
                <w:highlight w:val="none"/>
              </w:rPr>
              <w:t>、不全面得1分；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未设置得0分。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lang w:eastAsia="zh-CN"/>
              </w:rPr>
            </w:pPr>
            <w:r>
              <w:rPr>
                <w:rFonts w:hint="eastAsia" w:cs="宋体"/>
                <w:color w:val="auto"/>
                <w:kern w:val="2"/>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6" w:type="dxa"/>
            <w:vMerge w:val="continue"/>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1294" w:type="dxa"/>
            <w:vMerge w:val="continue"/>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5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劳动力的配备及保证措施。</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内容清晰合理、措施有针对性、可行得3-</w:t>
            </w: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内容基本合理、措施基本有针对性得</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rPr>
              <w:t>-3分；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内容合理</w:t>
            </w:r>
            <w:r>
              <w:rPr>
                <w:rFonts w:hint="eastAsia" w:hAnsi="宋体" w:cs="宋体"/>
                <w:color w:val="auto"/>
                <w:sz w:val="22"/>
                <w:szCs w:val="22"/>
                <w:highlight w:val="none"/>
                <w:lang w:val="en-US" w:eastAsia="zh-CN"/>
              </w:rPr>
              <w:t>性差</w:t>
            </w:r>
            <w:r>
              <w:rPr>
                <w:rFonts w:hint="eastAsia" w:ascii="宋体" w:hAnsi="宋体" w:eastAsia="宋体" w:cs="宋体"/>
                <w:color w:val="auto"/>
                <w:sz w:val="22"/>
                <w:szCs w:val="22"/>
                <w:highlight w:val="none"/>
              </w:rPr>
              <w:t>、措施针对性</w:t>
            </w:r>
            <w:r>
              <w:rPr>
                <w:rFonts w:hint="eastAsia" w:hAnsi="宋体" w:cs="宋体"/>
                <w:color w:val="auto"/>
                <w:sz w:val="22"/>
                <w:szCs w:val="22"/>
                <w:highlight w:val="none"/>
                <w:lang w:val="en-US" w:eastAsia="zh-CN"/>
              </w:rPr>
              <w:t>差</w:t>
            </w:r>
            <w:r>
              <w:rPr>
                <w:rFonts w:hint="eastAsia" w:ascii="宋体" w:hAnsi="宋体" w:eastAsia="宋体" w:cs="宋体"/>
                <w:color w:val="auto"/>
                <w:sz w:val="22"/>
                <w:szCs w:val="22"/>
                <w:highlight w:val="none"/>
              </w:rPr>
              <w:t>得1分；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未设置得0分。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lang w:eastAsia="zh-CN"/>
              </w:rPr>
            </w:pPr>
            <w:r>
              <w:rPr>
                <w:rFonts w:hint="eastAsia" w:cs="宋体"/>
                <w:color w:val="auto"/>
                <w:kern w:val="2"/>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6" w:type="dxa"/>
            <w:vMerge w:val="continue"/>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1294" w:type="dxa"/>
            <w:vMerge w:val="continue"/>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5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所投入的机械设备完好率、利用率，检测设备及手段齐全。</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内容清晰合理、顺利高效进行得3-</w:t>
            </w:r>
            <w:r>
              <w:rPr>
                <w:rFonts w:hint="eastAsia" w:hAnsi="宋体" w:cs="宋体"/>
                <w:color w:val="auto"/>
                <w:sz w:val="22"/>
                <w:szCs w:val="22"/>
                <w:highlight w:val="none"/>
                <w:lang w:val="en-US" w:eastAsia="zh-CN"/>
              </w:rPr>
              <w:t>5</w:t>
            </w:r>
            <w:r>
              <w:rPr>
                <w:rFonts w:hint="eastAsia" w:ascii="宋体" w:hAnsi="宋体" w:eastAsia="宋体" w:cs="宋体"/>
                <w:color w:val="auto"/>
                <w:sz w:val="22"/>
                <w:szCs w:val="22"/>
                <w:highlight w:val="none"/>
              </w:rPr>
              <w:t>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内容基本合理、保障进行得</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rPr>
              <w:t>-3分；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内容合理</w:t>
            </w:r>
            <w:r>
              <w:rPr>
                <w:rFonts w:hint="eastAsia" w:hAnsi="宋体" w:cs="宋体"/>
                <w:color w:val="auto"/>
                <w:sz w:val="22"/>
                <w:szCs w:val="22"/>
                <w:highlight w:val="none"/>
                <w:lang w:val="en-US" w:eastAsia="zh-CN"/>
              </w:rPr>
              <w:t>性差</w:t>
            </w:r>
            <w:r>
              <w:rPr>
                <w:rFonts w:hint="eastAsia" w:ascii="宋体" w:hAnsi="宋体" w:eastAsia="宋体" w:cs="宋体"/>
                <w:color w:val="auto"/>
                <w:sz w:val="22"/>
                <w:szCs w:val="22"/>
                <w:highlight w:val="none"/>
              </w:rPr>
              <w:t>、可行</w:t>
            </w:r>
            <w:r>
              <w:rPr>
                <w:rFonts w:hint="eastAsia" w:hAnsi="宋体" w:cs="宋体"/>
                <w:color w:val="auto"/>
                <w:sz w:val="22"/>
                <w:szCs w:val="22"/>
                <w:highlight w:val="none"/>
                <w:lang w:val="en-US" w:eastAsia="zh-CN"/>
              </w:rPr>
              <w:t>性差</w:t>
            </w:r>
            <w:r>
              <w:rPr>
                <w:rFonts w:hint="eastAsia" w:ascii="宋体" w:hAnsi="宋体" w:eastAsia="宋体" w:cs="宋体"/>
                <w:color w:val="auto"/>
                <w:sz w:val="22"/>
                <w:szCs w:val="22"/>
                <w:highlight w:val="none"/>
              </w:rPr>
              <w:t>、不全面得1分；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未设置得0分。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lang w:eastAsia="zh-CN"/>
              </w:rPr>
            </w:pPr>
            <w:r>
              <w:rPr>
                <w:rFonts w:hint="eastAsia" w:cs="宋体"/>
                <w:color w:val="auto"/>
                <w:kern w:val="2"/>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1276" w:type="dxa"/>
            <w:vMerge w:val="continue"/>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1294" w:type="dxa"/>
            <w:vMerge w:val="continue"/>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5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工程进度计划与工期目标实现的具体措施。</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内容清晰合理、顺利高效进行得</w:t>
            </w:r>
            <w:r>
              <w:rPr>
                <w:rFonts w:hint="eastAsia" w:hAnsi="宋体" w:cs="宋体"/>
                <w:color w:val="auto"/>
                <w:sz w:val="22"/>
                <w:szCs w:val="22"/>
                <w:highlight w:val="none"/>
                <w:lang w:val="en-US" w:eastAsia="zh-CN"/>
              </w:rPr>
              <w:t>3-5</w:t>
            </w:r>
            <w:r>
              <w:rPr>
                <w:rFonts w:hint="eastAsia" w:ascii="宋体" w:hAnsi="宋体" w:eastAsia="宋体" w:cs="宋体"/>
                <w:color w:val="auto"/>
                <w:sz w:val="22"/>
                <w:szCs w:val="22"/>
                <w:highlight w:val="none"/>
              </w:rPr>
              <w:t>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内容基本合理、保障进行得</w:t>
            </w:r>
            <w:r>
              <w:rPr>
                <w:rFonts w:hint="eastAsia" w:hAnsi="宋体" w:cs="宋体"/>
                <w:color w:val="auto"/>
                <w:sz w:val="22"/>
                <w:szCs w:val="22"/>
                <w:highlight w:val="none"/>
                <w:lang w:val="en-US" w:eastAsia="zh-CN"/>
              </w:rPr>
              <w:t>1-2</w:t>
            </w:r>
            <w:r>
              <w:rPr>
                <w:rFonts w:hint="eastAsia" w:ascii="宋体" w:hAnsi="宋体" w:eastAsia="宋体" w:cs="宋体"/>
                <w:color w:val="auto"/>
                <w:sz w:val="22"/>
                <w:szCs w:val="22"/>
                <w:highlight w:val="none"/>
              </w:rPr>
              <w:t>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内容合理</w:t>
            </w:r>
            <w:r>
              <w:rPr>
                <w:rFonts w:hint="eastAsia" w:hAnsi="宋体" w:cs="宋体"/>
                <w:color w:val="auto"/>
                <w:sz w:val="22"/>
                <w:szCs w:val="22"/>
                <w:highlight w:val="none"/>
                <w:lang w:val="en-US" w:eastAsia="zh-CN"/>
              </w:rPr>
              <w:t>性差</w:t>
            </w:r>
            <w:r>
              <w:rPr>
                <w:rFonts w:hint="eastAsia" w:ascii="宋体" w:hAnsi="宋体" w:eastAsia="宋体" w:cs="宋体"/>
                <w:color w:val="auto"/>
                <w:sz w:val="22"/>
                <w:szCs w:val="22"/>
                <w:highlight w:val="none"/>
              </w:rPr>
              <w:t>、可行</w:t>
            </w:r>
            <w:r>
              <w:rPr>
                <w:rFonts w:hint="eastAsia" w:hAnsi="宋体" w:cs="宋体"/>
                <w:color w:val="auto"/>
                <w:sz w:val="22"/>
                <w:szCs w:val="22"/>
                <w:highlight w:val="none"/>
                <w:lang w:val="en-US" w:eastAsia="zh-CN"/>
              </w:rPr>
              <w:t>性差</w:t>
            </w:r>
            <w:r>
              <w:rPr>
                <w:rFonts w:hint="eastAsia" w:ascii="宋体" w:hAnsi="宋体" w:eastAsia="宋体" w:cs="宋体"/>
                <w:color w:val="auto"/>
                <w:sz w:val="22"/>
                <w:szCs w:val="22"/>
                <w:highlight w:val="none"/>
              </w:rPr>
              <w:t>、不全面得1分；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未设置得0分。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lang w:eastAsia="zh-CN"/>
              </w:rPr>
            </w:pPr>
            <w:r>
              <w:rPr>
                <w:rFonts w:hint="eastAsia" w:cs="宋体"/>
                <w:color w:val="auto"/>
                <w:kern w:val="2"/>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6" w:type="dxa"/>
            <w:vMerge w:val="continue"/>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1294" w:type="dxa"/>
            <w:vMerge w:val="continue"/>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5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质量管理体系及保证措施。</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内容清晰合理、措施有针对性、可行得</w:t>
            </w:r>
            <w:r>
              <w:rPr>
                <w:rFonts w:hint="eastAsia" w:hAnsi="宋体" w:cs="宋体"/>
                <w:color w:val="auto"/>
                <w:sz w:val="22"/>
                <w:szCs w:val="22"/>
                <w:highlight w:val="none"/>
                <w:lang w:val="en-US" w:eastAsia="zh-CN"/>
              </w:rPr>
              <w:t>3-5</w:t>
            </w:r>
            <w:r>
              <w:rPr>
                <w:rFonts w:hint="eastAsia" w:ascii="宋体" w:hAnsi="宋体" w:eastAsia="宋体" w:cs="宋体"/>
                <w:color w:val="auto"/>
                <w:sz w:val="22"/>
                <w:szCs w:val="22"/>
                <w:highlight w:val="none"/>
              </w:rPr>
              <w:t>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内容基本合理、措施基本有针对性得1-</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内容合理</w:t>
            </w:r>
            <w:r>
              <w:rPr>
                <w:rFonts w:hint="eastAsia" w:hAnsi="宋体" w:cs="宋体"/>
                <w:color w:val="auto"/>
                <w:sz w:val="22"/>
                <w:szCs w:val="22"/>
                <w:highlight w:val="none"/>
                <w:lang w:val="en-US" w:eastAsia="zh-CN"/>
              </w:rPr>
              <w:t>性差</w:t>
            </w:r>
            <w:r>
              <w:rPr>
                <w:rFonts w:hint="eastAsia" w:ascii="宋体" w:hAnsi="宋体" w:eastAsia="宋体" w:cs="宋体"/>
                <w:color w:val="auto"/>
                <w:sz w:val="22"/>
                <w:szCs w:val="22"/>
                <w:highlight w:val="none"/>
              </w:rPr>
              <w:t>、措施针对性</w:t>
            </w:r>
            <w:r>
              <w:rPr>
                <w:rFonts w:hint="eastAsia" w:hAnsi="宋体" w:cs="宋体"/>
                <w:color w:val="auto"/>
                <w:sz w:val="22"/>
                <w:szCs w:val="22"/>
                <w:highlight w:val="none"/>
                <w:lang w:val="en-US" w:eastAsia="zh-CN"/>
              </w:rPr>
              <w:t>差</w:t>
            </w:r>
            <w:r>
              <w:rPr>
                <w:rFonts w:hint="eastAsia" w:ascii="宋体" w:hAnsi="宋体" w:eastAsia="宋体" w:cs="宋体"/>
                <w:color w:val="auto"/>
                <w:sz w:val="22"/>
                <w:szCs w:val="22"/>
                <w:highlight w:val="none"/>
              </w:rPr>
              <w:t>得1分；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未设置得0分。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lang w:eastAsia="zh-CN"/>
              </w:rPr>
            </w:pPr>
            <w:r>
              <w:rPr>
                <w:rFonts w:hint="eastAsia" w:cs="宋体"/>
                <w:color w:val="auto"/>
                <w:kern w:val="2"/>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6" w:type="dxa"/>
            <w:vMerge w:val="continue"/>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1294" w:type="dxa"/>
            <w:vMerge w:val="continue"/>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5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安全管理体系及安全文明施工措施。</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内容清晰合理、措施有针对性、可行得</w:t>
            </w:r>
            <w:r>
              <w:rPr>
                <w:rFonts w:hint="eastAsia" w:hAnsi="宋体" w:cs="宋体"/>
                <w:color w:val="auto"/>
                <w:sz w:val="22"/>
                <w:szCs w:val="22"/>
                <w:highlight w:val="none"/>
                <w:lang w:val="en-US" w:eastAsia="zh-CN"/>
              </w:rPr>
              <w:t>3-5</w:t>
            </w:r>
            <w:r>
              <w:rPr>
                <w:rFonts w:hint="eastAsia" w:ascii="宋体" w:hAnsi="宋体" w:eastAsia="宋体" w:cs="宋体"/>
                <w:color w:val="auto"/>
                <w:sz w:val="22"/>
                <w:szCs w:val="22"/>
                <w:highlight w:val="none"/>
              </w:rPr>
              <w:t>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内容基本合理、措施基本有针对性得1-</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内容合理</w:t>
            </w:r>
            <w:r>
              <w:rPr>
                <w:rFonts w:hint="eastAsia" w:hAnsi="宋体" w:cs="宋体"/>
                <w:color w:val="auto"/>
                <w:sz w:val="22"/>
                <w:szCs w:val="22"/>
                <w:highlight w:val="none"/>
                <w:lang w:val="en-US" w:eastAsia="zh-CN"/>
              </w:rPr>
              <w:t>性差</w:t>
            </w:r>
            <w:r>
              <w:rPr>
                <w:rFonts w:hint="eastAsia" w:ascii="宋体" w:hAnsi="宋体" w:eastAsia="宋体" w:cs="宋体"/>
                <w:color w:val="auto"/>
                <w:sz w:val="22"/>
                <w:szCs w:val="22"/>
                <w:highlight w:val="none"/>
              </w:rPr>
              <w:t>、措施针对性</w:t>
            </w:r>
            <w:r>
              <w:rPr>
                <w:rFonts w:hint="eastAsia" w:hAnsi="宋体" w:cs="宋体"/>
                <w:color w:val="auto"/>
                <w:sz w:val="22"/>
                <w:szCs w:val="22"/>
                <w:highlight w:val="none"/>
                <w:lang w:val="en-US" w:eastAsia="zh-CN"/>
              </w:rPr>
              <w:t>差</w:t>
            </w:r>
            <w:r>
              <w:rPr>
                <w:rFonts w:hint="eastAsia" w:ascii="宋体" w:hAnsi="宋体" w:eastAsia="宋体" w:cs="宋体"/>
                <w:color w:val="auto"/>
                <w:sz w:val="22"/>
                <w:szCs w:val="22"/>
                <w:highlight w:val="none"/>
              </w:rPr>
              <w:t>得1分；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未设置得0分。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lang w:eastAsia="zh-CN"/>
              </w:rPr>
            </w:pPr>
            <w:r>
              <w:rPr>
                <w:rFonts w:hint="eastAsia" w:cs="宋体"/>
                <w:color w:val="auto"/>
                <w:kern w:val="2"/>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6" w:type="dxa"/>
            <w:vMerge w:val="continue"/>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1294" w:type="dxa"/>
            <w:vMerge w:val="continue"/>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5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环境保护管理体系及措施。</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内容清晰合理、措施有针对性、可行得</w:t>
            </w:r>
            <w:r>
              <w:rPr>
                <w:rFonts w:hint="eastAsia" w:hAnsi="宋体" w:cs="宋体"/>
                <w:color w:val="auto"/>
                <w:sz w:val="22"/>
                <w:szCs w:val="22"/>
                <w:highlight w:val="none"/>
                <w:lang w:val="en-US" w:eastAsia="zh-CN"/>
              </w:rPr>
              <w:t>3-5</w:t>
            </w:r>
            <w:r>
              <w:rPr>
                <w:rFonts w:hint="eastAsia" w:ascii="宋体" w:hAnsi="宋体" w:eastAsia="宋体" w:cs="宋体"/>
                <w:color w:val="auto"/>
                <w:sz w:val="22"/>
                <w:szCs w:val="22"/>
                <w:highlight w:val="none"/>
              </w:rPr>
              <w:t>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内容基本合理、措施基本有针对性得1-</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内容合理</w:t>
            </w:r>
            <w:r>
              <w:rPr>
                <w:rFonts w:hint="eastAsia" w:hAnsi="宋体" w:cs="宋体"/>
                <w:color w:val="auto"/>
                <w:sz w:val="22"/>
                <w:szCs w:val="22"/>
                <w:highlight w:val="none"/>
                <w:lang w:val="en-US" w:eastAsia="zh-CN"/>
              </w:rPr>
              <w:t>性差</w:t>
            </w:r>
            <w:r>
              <w:rPr>
                <w:rFonts w:hint="eastAsia" w:ascii="宋体" w:hAnsi="宋体" w:eastAsia="宋体" w:cs="宋体"/>
                <w:color w:val="auto"/>
                <w:sz w:val="22"/>
                <w:szCs w:val="22"/>
                <w:highlight w:val="none"/>
              </w:rPr>
              <w:t>、措施针对性</w:t>
            </w:r>
            <w:r>
              <w:rPr>
                <w:rFonts w:hint="eastAsia" w:hAnsi="宋体" w:cs="宋体"/>
                <w:color w:val="auto"/>
                <w:sz w:val="22"/>
                <w:szCs w:val="22"/>
                <w:highlight w:val="none"/>
                <w:lang w:val="en-US" w:eastAsia="zh-CN"/>
              </w:rPr>
              <w:t>差</w:t>
            </w:r>
            <w:r>
              <w:rPr>
                <w:rFonts w:hint="eastAsia" w:ascii="宋体" w:hAnsi="宋体" w:eastAsia="宋体" w:cs="宋体"/>
                <w:color w:val="auto"/>
                <w:sz w:val="22"/>
                <w:szCs w:val="22"/>
                <w:highlight w:val="none"/>
              </w:rPr>
              <w:t>得1分；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未设置得0分。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lang w:eastAsia="zh-CN"/>
              </w:rPr>
            </w:pPr>
            <w:r>
              <w:rPr>
                <w:rFonts w:hint="eastAsia" w:cs="宋体"/>
                <w:color w:val="auto"/>
                <w:kern w:val="2"/>
                <w:sz w:val="22"/>
                <w:szCs w:val="22"/>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6" w:type="dxa"/>
            <w:vMerge w:val="continue"/>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1294" w:type="dxa"/>
            <w:vMerge w:val="continue"/>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5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季节性施工措施。</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内容清晰合理、措施有针对性、可行得</w:t>
            </w:r>
            <w:r>
              <w:rPr>
                <w:rFonts w:hint="eastAsia" w:hAnsi="宋体" w:cs="宋体"/>
                <w:color w:val="auto"/>
                <w:sz w:val="22"/>
                <w:szCs w:val="22"/>
                <w:highlight w:val="none"/>
                <w:lang w:val="en-US" w:eastAsia="zh-CN"/>
              </w:rPr>
              <w:t>3</w:t>
            </w:r>
            <w:r>
              <w:rPr>
                <w:rFonts w:hint="eastAsia" w:ascii="宋体" w:hAnsi="宋体" w:eastAsia="宋体" w:cs="宋体"/>
                <w:color w:val="auto"/>
                <w:sz w:val="22"/>
                <w:szCs w:val="22"/>
                <w:highlight w:val="none"/>
              </w:rPr>
              <w:t>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内容基本合理、措施基本有针对性得1-</w:t>
            </w:r>
            <w:r>
              <w:rPr>
                <w:rFonts w:hint="eastAsia" w:hAnsi="宋体" w:cs="宋体"/>
                <w:color w:val="auto"/>
                <w:sz w:val="22"/>
                <w:szCs w:val="22"/>
                <w:highlight w:val="none"/>
                <w:lang w:val="en-US" w:eastAsia="zh-CN"/>
              </w:rPr>
              <w:t>2</w:t>
            </w:r>
            <w:r>
              <w:rPr>
                <w:rFonts w:hint="eastAsia" w:ascii="宋体" w:hAnsi="宋体" w:eastAsia="宋体" w:cs="宋体"/>
                <w:color w:val="auto"/>
                <w:sz w:val="22"/>
                <w:szCs w:val="22"/>
                <w:highlight w:val="none"/>
              </w:rPr>
              <w:t>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内容合理</w:t>
            </w:r>
            <w:r>
              <w:rPr>
                <w:rFonts w:hint="eastAsia" w:hAnsi="宋体" w:cs="宋体"/>
                <w:color w:val="auto"/>
                <w:sz w:val="22"/>
                <w:szCs w:val="22"/>
                <w:highlight w:val="none"/>
                <w:lang w:val="en-US" w:eastAsia="zh-CN"/>
              </w:rPr>
              <w:t>性差</w:t>
            </w:r>
            <w:r>
              <w:rPr>
                <w:rFonts w:hint="eastAsia" w:ascii="宋体" w:hAnsi="宋体" w:eastAsia="宋体" w:cs="宋体"/>
                <w:color w:val="auto"/>
                <w:sz w:val="22"/>
                <w:szCs w:val="22"/>
                <w:highlight w:val="none"/>
              </w:rPr>
              <w:t>、措施针对性</w:t>
            </w:r>
            <w:r>
              <w:rPr>
                <w:rFonts w:hint="eastAsia" w:hAnsi="宋体" w:cs="宋体"/>
                <w:color w:val="auto"/>
                <w:sz w:val="22"/>
                <w:szCs w:val="22"/>
                <w:highlight w:val="none"/>
                <w:lang w:val="en-US" w:eastAsia="zh-CN"/>
              </w:rPr>
              <w:t>差</w:t>
            </w:r>
            <w:r>
              <w:rPr>
                <w:rFonts w:hint="eastAsia" w:ascii="宋体" w:hAnsi="宋体" w:eastAsia="宋体" w:cs="宋体"/>
                <w:color w:val="auto"/>
                <w:sz w:val="22"/>
                <w:szCs w:val="22"/>
                <w:highlight w:val="none"/>
              </w:rPr>
              <w:t>得1分；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未设置得0分。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lang w:eastAsia="zh-CN"/>
              </w:rPr>
            </w:pPr>
            <w:r>
              <w:rPr>
                <w:rFonts w:hint="eastAsia" w:cs="宋体"/>
                <w:color w:val="auto"/>
                <w:kern w:val="2"/>
                <w:sz w:val="22"/>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276" w:type="dxa"/>
            <w:vMerge w:val="continue"/>
            <w:tcBorders>
              <w:left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1294" w:type="dxa"/>
            <w:vMerge w:val="continue"/>
            <w:tcBorders>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2"/>
                <w:szCs w:val="22"/>
                <w:highlight w:val="none"/>
              </w:rPr>
            </w:pPr>
          </w:p>
        </w:tc>
        <w:tc>
          <w:tcPr>
            <w:tcW w:w="5594" w:type="dxa"/>
            <w:tcBorders>
              <w:top w:val="single" w:color="auto" w:sz="4" w:space="0"/>
              <w:left w:val="single" w:color="auto" w:sz="4" w:space="0"/>
              <w:bottom w:val="single" w:color="auto" w:sz="4" w:space="0"/>
              <w:right w:val="single" w:color="auto" w:sz="4" w:space="0"/>
            </w:tcBorders>
            <w:noWrap w:val="0"/>
            <w:vAlign w:val="center"/>
          </w:tcPr>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服务措施及承诺。</w:t>
            </w:r>
          </w:p>
          <w:p>
            <w:pPr>
              <w:pStyle w:val="36"/>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内容详实可靠、全面合理，保障措施具体全面得</w:t>
            </w:r>
            <w:r>
              <w:rPr>
                <w:rFonts w:hint="eastAsia" w:cs="宋体"/>
                <w:color w:val="auto"/>
                <w:kern w:val="2"/>
                <w:sz w:val="22"/>
                <w:szCs w:val="22"/>
                <w:highlight w:val="none"/>
                <w:lang w:val="en-US" w:eastAsia="zh-CN"/>
              </w:rPr>
              <w:t>3</w:t>
            </w:r>
            <w:r>
              <w:rPr>
                <w:rFonts w:hint="eastAsia" w:ascii="宋体" w:hAnsi="宋体" w:eastAsia="宋体" w:cs="宋体"/>
                <w:color w:val="auto"/>
                <w:kern w:val="2"/>
                <w:sz w:val="22"/>
                <w:szCs w:val="22"/>
                <w:highlight w:val="none"/>
              </w:rPr>
              <w:t>分；</w:t>
            </w:r>
          </w:p>
          <w:p>
            <w:pPr>
              <w:pStyle w:val="36"/>
              <w:keepNext w:val="0"/>
              <w:keepLines w:val="0"/>
              <w:suppressLineNumbers w:val="0"/>
              <w:adjustRightInd w:val="0"/>
              <w:snapToGrid w:val="0"/>
              <w:spacing w:before="0" w:beforeAutospacing="0" w:after="0" w:afterAutospacing="0"/>
              <w:ind w:left="0" w:right="0"/>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基本详实可靠、基本合理，保障措施较全面的得1-2分；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内容一般、不全面得1分；</w:t>
            </w:r>
          </w:p>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未设置得0分。</w:t>
            </w:r>
          </w:p>
        </w:tc>
        <w:tc>
          <w:tcPr>
            <w:tcW w:w="89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lang w:eastAsia="zh-CN"/>
              </w:rPr>
            </w:pPr>
            <w:r>
              <w:rPr>
                <w:rFonts w:hint="eastAsia" w:cs="宋体"/>
                <w:color w:val="auto"/>
                <w:kern w:val="2"/>
                <w:sz w:val="22"/>
                <w:szCs w:val="22"/>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1276" w:type="dxa"/>
            <w:vMerge w:val="restart"/>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商务部分</w:t>
            </w:r>
          </w:p>
        </w:tc>
        <w:tc>
          <w:tcPr>
            <w:tcW w:w="1294"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业绩</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6分</w:t>
            </w:r>
            <w:r>
              <w:rPr>
                <w:rFonts w:hint="eastAsia" w:ascii="宋体" w:hAnsi="宋体" w:cs="宋体"/>
                <w:color w:val="auto"/>
                <w:sz w:val="22"/>
                <w:szCs w:val="22"/>
                <w:highlight w:val="none"/>
                <w:lang w:eastAsia="zh-CN"/>
              </w:rPr>
              <w:t>）</w:t>
            </w:r>
          </w:p>
        </w:tc>
        <w:tc>
          <w:tcPr>
            <w:tcW w:w="55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rPr>
              <w:t>201</w:t>
            </w:r>
            <w:r>
              <w:rPr>
                <w:rFonts w:hint="eastAsia" w:ascii="宋体" w:hAnsi="宋体" w:cs="宋体"/>
                <w:color w:val="auto"/>
                <w:sz w:val="22"/>
                <w:szCs w:val="22"/>
                <w:highlight w:val="none"/>
                <w:lang w:val="en-US" w:eastAsia="zh-CN"/>
              </w:rPr>
              <w:t>9</w:t>
            </w:r>
            <w:r>
              <w:rPr>
                <w:rFonts w:hint="eastAsia" w:ascii="宋体" w:hAnsi="宋体" w:eastAsia="宋体" w:cs="宋体"/>
                <w:color w:val="auto"/>
                <w:sz w:val="22"/>
                <w:szCs w:val="22"/>
                <w:highlight w:val="none"/>
              </w:rPr>
              <w:t>年</w:t>
            </w:r>
            <w:r>
              <w:rPr>
                <w:rFonts w:hint="eastAsia" w:ascii="宋体" w:hAnsi="宋体" w:cs="宋体"/>
                <w:color w:val="auto"/>
                <w:sz w:val="22"/>
                <w:szCs w:val="22"/>
                <w:highlight w:val="none"/>
                <w:lang w:val="en-US" w:eastAsia="zh-CN"/>
              </w:rPr>
              <w:t>1月1日</w:t>
            </w:r>
            <w:r>
              <w:rPr>
                <w:rFonts w:hint="eastAsia" w:ascii="宋体" w:hAnsi="宋体" w:eastAsia="宋体" w:cs="宋体"/>
                <w:color w:val="auto"/>
                <w:sz w:val="22"/>
                <w:szCs w:val="22"/>
                <w:highlight w:val="none"/>
              </w:rPr>
              <w:t>至今供应商具有同类或类似项目业绩</w:t>
            </w:r>
            <w:r>
              <w:rPr>
                <w:rFonts w:hint="eastAsia" w:ascii="宋体" w:hAnsi="宋体" w:cs="宋体"/>
                <w:color w:val="auto"/>
                <w:sz w:val="22"/>
                <w:szCs w:val="22"/>
                <w:highlight w:val="none"/>
                <w:lang w:eastAsia="zh-CN"/>
              </w:rPr>
              <w:t>，提供一个得</w:t>
            </w:r>
            <w:r>
              <w:rPr>
                <w:rFonts w:hint="eastAsia" w:ascii="宋体" w:hAnsi="宋体" w:cs="宋体"/>
                <w:color w:val="auto"/>
                <w:sz w:val="22"/>
                <w:szCs w:val="22"/>
                <w:highlight w:val="none"/>
                <w:lang w:val="en-US" w:eastAsia="zh-CN"/>
              </w:rPr>
              <w:t>2分，满分6</w:t>
            </w:r>
            <w:r>
              <w:rPr>
                <w:rFonts w:hint="eastAsia" w:ascii="宋体" w:hAnsi="宋体" w:eastAsia="宋体" w:cs="宋体"/>
                <w:color w:val="auto"/>
                <w:sz w:val="22"/>
                <w:szCs w:val="22"/>
                <w:highlight w:val="none"/>
              </w:rPr>
              <w:t>分。</w:t>
            </w:r>
            <w:r>
              <w:rPr>
                <w:rFonts w:hint="eastAsia" w:ascii="宋体" w:hAnsi="宋体" w:cs="宋体"/>
                <w:color w:val="auto"/>
                <w:sz w:val="22"/>
                <w:szCs w:val="22"/>
                <w:highlight w:val="none"/>
                <w:lang w:eastAsia="zh-CN"/>
              </w:rPr>
              <w:t>（提供合同或中标通知书）</w:t>
            </w:r>
          </w:p>
        </w:tc>
        <w:tc>
          <w:tcPr>
            <w:tcW w:w="89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276" w:type="dxa"/>
            <w:vMerge w:val="continue"/>
            <w:tcBorders>
              <w:left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p>
        </w:tc>
        <w:tc>
          <w:tcPr>
            <w:tcW w:w="1294" w:type="dxa"/>
            <w:tcBorders>
              <w:top w:val="single" w:color="auto" w:sz="4" w:space="0"/>
              <w:left w:val="single" w:color="auto" w:sz="4" w:space="0"/>
              <w:right w:val="single" w:color="auto" w:sz="4" w:space="0"/>
            </w:tcBorders>
            <w:noWrap w:val="0"/>
            <w:vAlign w:val="top"/>
          </w:tcPr>
          <w:p>
            <w:pPr>
              <w:keepNext w:val="0"/>
              <w:keepLines w:val="0"/>
              <w:suppressLineNumbers w:val="0"/>
              <w:adjustRightInd w:val="0"/>
              <w:snapToGrid w:val="0"/>
              <w:spacing w:before="0" w:beforeAutospacing="0" w:after="0" w:afterAutospacing="0" w:line="480" w:lineRule="exact"/>
              <w:ind w:left="0" w:right="0"/>
              <w:jc w:val="center"/>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rPr>
              <w:t>项目经理部人员素质</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8分</w:t>
            </w:r>
            <w:r>
              <w:rPr>
                <w:rFonts w:hint="eastAsia" w:ascii="宋体" w:hAnsi="宋体" w:cs="宋体"/>
                <w:color w:val="auto"/>
                <w:kern w:val="0"/>
                <w:sz w:val="22"/>
                <w:szCs w:val="22"/>
                <w:highlight w:val="none"/>
                <w:lang w:eastAsia="zh-CN"/>
              </w:rPr>
              <w:t>）</w:t>
            </w:r>
          </w:p>
        </w:tc>
        <w:tc>
          <w:tcPr>
            <w:tcW w:w="5594" w:type="dxa"/>
            <w:tcBorders>
              <w:top w:val="single" w:color="auto" w:sz="4" w:space="0"/>
              <w:left w:val="single" w:color="auto" w:sz="4" w:space="0"/>
              <w:right w:val="single" w:color="auto" w:sz="4" w:space="0"/>
            </w:tcBorders>
            <w:noWrap w:val="0"/>
            <w:vAlign w:val="center"/>
          </w:tcPr>
          <w:p>
            <w:pPr>
              <w:pStyle w:val="24"/>
              <w:keepNext w:val="0"/>
              <w:keepLines w:val="0"/>
              <w:suppressLineNumbers w:val="0"/>
              <w:spacing w:before="0" w:beforeAutospacing="0" w:after="0" w:afterAutospacing="0"/>
              <w:ind w:left="0" w:right="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项目经理(职称证）、技术负责人（职称证）、施工员</w:t>
            </w:r>
            <w:r>
              <w:rPr>
                <w:rFonts w:hint="eastAsia" w:ascii="宋体" w:hAnsi="宋体" w:eastAsia="宋体" w:cs="宋体"/>
                <w:color w:val="auto"/>
                <w:sz w:val="22"/>
                <w:szCs w:val="22"/>
                <w:highlight w:val="none"/>
                <w:lang w:eastAsia="zh-CN"/>
              </w:rPr>
              <w:t>（上岗证）</w:t>
            </w:r>
            <w:r>
              <w:rPr>
                <w:rFonts w:hint="eastAsia" w:ascii="宋体" w:hAnsi="宋体" w:eastAsia="宋体" w:cs="宋体"/>
                <w:color w:val="auto"/>
                <w:sz w:val="22"/>
                <w:szCs w:val="22"/>
                <w:highlight w:val="none"/>
              </w:rPr>
              <w:t>、质检员</w:t>
            </w:r>
            <w:r>
              <w:rPr>
                <w:rFonts w:hint="eastAsia" w:ascii="宋体" w:hAnsi="宋体" w:eastAsia="宋体" w:cs="宋体"/>
                <w:color w:val="auto"/>
                <w:sz w:val="22"/>
                <w:szCs w:val="22"/>
                <w:highlight w:val="none"/>
                <w:lang w:eastAsia="zh-CN"/>
              </w:rPr>
              <w:t>（上岗证）</w:t>
            </w:r>
            <w:r>
              <w:rPr>
                <w:rFonts w:hint="eastAsia" w:ascii="宋体" w:hAnsi="宋体" w:eastAsia="宋体" w:cs="宋体"/>
                <w:color w:val="auto"/>
                <w:sz w:val="22"/>
                <w:szCs w:val="22"/>
                <w:highlight w:val="none"/>
              </w:rPr>
              <w:t>、安全员</w:t>
            </w:r>
            <w:r>
              <w:rPr>
                <w:rFonts w:hint="eastAsia" w:ascii="宋体" w:hAnsi="宋体" w:eastAsia="宋体" w:cs="宋体"/>
                <w:color w:val="auto"/>
                <w:sz w:val="22"/>
                <w:szCs w:val="22"/>
                <w:highlight w:val="none"/>
                <w:lang w:eastAsia="zh-CN"/>
              </w:rPr>
              <w:t>（上岗证）、</w:t>
            </w:r>
            <w:r>
              <w:rPr>
                <w:rFonts w:hint="eastAsia" w:ascii="宋体" w:hAnsi="宋体" w:eastAsia="宋体" w:cs="宋体"/>
                <w:color w:val="auto"/>
                <w:sz w:val="22"/>
                <w:szCs w:val="22"/>
                <w:highlight w:val="none"/>
                <w:lang w:val="en-US" w:eastAsia="zh-CN"/>
              </w:rPr>
              <w:t>材料员</w:t>
            </w:r>
            <w:r>
              <w:rPr>
                <w:rFonts w:hint="eastAsia" w:ascii="宋体" w:hAnsi="宋体" w:eastAsia="宋体" w:cs="宋体"/>
                <w:color w:val="auto"/>
                <w:sz w:val="22"/>
                <w:szCs w:val="22"/>
                <w:highlight w:val="none"/>
                <w:lang w:eastAsia="zh-CN"/>
              </w:rPr>
              <w:t>（上岗证）</w:t>
            </w:r>
            <w:r>
              <w:rPr>
                <w:rFonts w:hint="eastAsia" w:ascii="宋体" w:hAnsi="宋体" w:eastAsia="宋体" w:cs="宋体"/>
                <w:color w:val="auto"/>
                <w:sz w:val="22"/>
                <w:szCs w:val="22"/>
                <w:highlight w:val="none"/>
              </w:rPr>
              <w:t>共计</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人</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证。证件齐全得</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分，缺一项扣</w:t>
            </w:r>
            <w:r>
              <w:rPr>
                <w:rFonts w:hint="eastAsia" w:ascii="宋体" w:hAnsi="宋体" w:eastAsia="宋体" w:cs="宋体"/>
                <w:color w:val="auto"/>
                <w:sz w:val="22"/>
                <w:szCs w:val="22"/>
                <w:highlight w:val="none"/>
                <w:lang w:val="en-US" w:eastAsia="zh-CN"/>
              </w:rPr>
              <w:t>1</w:t>
            </w:r>
            <w:r>
              <w:rPr>
                <w:rFonts w:hint="eastAsia" w:ascii="宋体" w:hAnsi="宋体" w:eastAsia="宋体" w:cs="宋体"/>
                <w:color w:val="auto"/>
                <w:sz w:val="22"/>
                <w:szCs w:val="22"/>
                <w:highlight w:val="none"/>
              </w:rPr>
              <w:t>分。</w:t>
            </w:r>
          </w:p>
          <w:p>
            <w:pPr>
              <w:pStyle w:val="24"/>
              <w:keepNext w:val="0"/>
              <w:keepLines w:val="0"/>
              <w:suppressLineNumbers w:val="0"/>
              <w:spacing w:before="0" w:beforeAutospacing="0" w:after="0" w:afterAutospacing="0"/>
              <w:ind w:left="0" w:right="0"/>
              <w:rPr>
                <w:rFonts w:hint="default"/>
                <w:highlight w:val="none"/>
                <w:lang w:val="en-US"/>
              </w:rPr>
            </w:pPr>
            <w:r>
              <w:rPr>
                <w:rFonts w:hint="eastAsia" w:ascii="宋体" w:hAnsi="宋体" w:eastAsia="宋体" w:cs="宋体"/>
                <w:color w:val="auto"/>
                <w:sz w:val="22"/>
                <w:szCs w:val="22"/>
                <w:highlight w:val="none"/>
              </w:rPr>
              <w:t>施工员、质检员、安全员</w:t>
            </w:r>
            <w:r>
              <w:rPr>
                <w:rFonts w:hint="eastAsia" w:ascii="宋体" w:hAnsi="宋体" w:eastAsia="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材料员</w:t>
            </w:r>
            <w:r>
              <w:rPr>
                <w:rFonts w:hint="eastAsia" w:hAnsi="宋体" w:cs="宋体"/>
                <w:color w:val="auto"/>
                <w:sz w:val="22"/>
                <w:szCs w:val="22"/>
                <w:highlight w:val="none"/>
                <w:lang w:val="en-US" w:eastAsia="zh-CN"/>
              </w:rPr>
              <w:t>同时具有职称证的每提供一个得0.5分，满分2分</w:t>
            </w:r>
            <w:r>
              <w:rPr>
                <w:rFonts w:hint="eastAsia" w:ascii="宋体" w:hAnsi="宋体" w:eastAsia="宋体" w:cs="宋体"/>
                <w:color w:val="auto"/>
                <w:sz w:val="22"/>
                <w:szCs w:val="22"/>
                <w:highlight w:val="none"/>
              </w:rPr>
              <w:t>。</w:t>
            </w:r>
          </w:p>
        </w:tc>
        <w:tc>
          <w:tcPr>
            <w:tcW w:w="89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lang w:eastAsia="zh-CN"/>
              </w:rPr>
            </w:pPr>
            <w:r>
              <w:rPr>
                <w:rFonts w:hint="eastAsia" w:cs="宋体"/>
                <w:color w:val="auto"/>
                <w:kern w:val="2"/>
                <w:sz w:val="22"/>
                <w:szCs w:val="22"/>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276" w:type="dxa"/>
            <w:tcBorders>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合计</w:t>
            </w:r>
          </w:p>
        </w:tc>
        <w:tc>
          <w:tcPr>
            <w:tcW w:w="68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left"/>
              <w:rPr>
                <w:rFonts w:hint="eastAsia" w:ascii="宋体" w:hAnsi="宋体" w:eastAsia="宋体" w:cs="宋体"/>
                <w:color w:val="auto"/>
                <w:kern w:val="0"/>
                <w:sz w:val="22"/>
                <w:szCs w:val="22"/>
                <w:highlight w:val="none"/>
              </w:rPr>
            </w:pPr>
          </w:p>
        </w:tc>
        <w:tc>
          <w:tcPr>
            <w:tcW w:w="894" w:type="dxa"/>
            <w:tcBorders>
              <w:top w:val="single" w:color="auto" w:sz="4" w:space="0"/>
              <w:left w:val="single" w:color="auto" w:sz="4" w:space="0"/>
              <w:bottom w:val="single" w:color="auto" w:sz="4" w:space="0"/>
              <w:right w:val="single" w:color="auto" w:sz="4" w:space="0"/>
            </w:tcBorders>
            <w:noWrap w:val="0"/>
            <w:vAlign w:val="center"/>
          </w:tcPr>
          <w:p>
            <w:pPr>
              <w:pStyle w:val="36"/>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2"/>
                <w:sz w:val="22"/>
                <w:szCs w:val="22"/>
                <w:highlight w:val="none"/>
              </w:rPr>
            </w:pPr>
            <w:r>
              <w:rPr>
                <w:rFonts w:hint="eastAsia" w:ascii="宋体" w:hAnsi="宋体" w:eastAsia="宋体" w:cs="宋体"/>
                <w:color w:val="auto"/>
                <w:kern w:val="2"/>
                <w:sz w:val="22"/>
                <w:szCs w:val="22"/>
                <w:highlight w:val="none"/>
              </w:rPr>
              <w:t>100</w:t>
            </w:r>
          </w:p>
        </w:tc>
      </w:tr>
    </w:tbl>
    <w:p>
      <w:pPr>
        <w:pStyle w:val="28"/>
        <w:rPr>
          <w:rFonts w:hint="eastAsia"/>
          <w:b/>
          <w:bCs/>
          <w:color w:val="auto"/>
          <w:sz w:val="21"/>
          <w:szCs w:val="32"/>
          <w:highlight w:val="none"/>
        </w:rPr>
      </w:pPr>
    </w:p>
    <w:p>
      <w:pPr>
        <w:pStyle w:val="28"/>
        <w:rPr>
          <w:rFonts w:hint="eastAsia"/>
          <w:b/>
          <w:bCs/>
          <w:color w:val="auto"/>
          <w:sz w:val="21"/>
          <w:szCs w:val="32"/>
          <w:highlight w:val="none"/>
        </w:rPr>
      </w:pPr>
    </w:p>
    <w:p>
      <w:pPr>
        <w:pStyle w:val="28"/>
        <w:rPr>
          <w:b/>
          <w:bCs/>
          <w:color w:val="auto"/>
          <w:sz w:val="21"/>
          <w:szCs w:val="32"/>
          <w:highlight w:val="none"/>
        </w:rPr>
      </w:pPr>
      <w:r>
        <w:rPr>
          <w:rFonts w:hint="eastAsia"/>
          <w:b/>
          <w:bCs/>
          <w:color w:val="auto"/>
          <w:sz w:val="21"/>
          <w:szCs w:val="32"/>
          <w:highlight w:val="none"/>
        </w:rPr>
        <w:t>注：评标所列证书均以原件或加盖单位公章复印件为准。</w:t>
      </w:r>
    </w:p>
    <w:p>
      <w:pPr>
        <w:pStyle w:val="36"/>
        <w:keepNext w:val="0"/>
        <w:keepLines w:val="0"/>
        <w:suppressLineNumbers w:val="0"/>
        <w:adjustRightInd w:val="0"/>
        <w:snapToGrid w:val="0"/>
        <w:spacing w:before="0" w:beforeAutospacing="0" w:after="0" w:afterAutospacing="0"/>
        <w:ind w:left="0" w:right="0"/>
        <w:jc w:val="both"/>
        <w:rPr>
          <w:rFonts w:hint="eastAsia" w:ascii="宋体" w:hAnsi="宋体" w:eastAsia="宋体" w:cs="宋体"/>
          <w:color w:val="auto"/>
          <w:kern w:val="2"/>
          <w:sz w:val="21"/>
          <w:szCs w:val="21"/>
          <w:highlight w:val="none"/>
        </w:rPr>
        <w:sectPr>
          <w:footerReference r:id="rId11" w:type="first"/>
          <w:footerReference r:id="rId10" w:type="default"/>
          <w:pgSz w:w="11906" w:h="16838"/>
          <w:pgMar w:top="1418" w:right="1555" w:bottom="1418" w:left="1531" w:header="851" w:footer="992" w:gutter="0"/>
          <w:pgNumType w:fmt="decimal"/>
          <w:cols w:space="720" w:num="1"/>
          <w:titlePg/>
          <w:docGrid w:type="lines" w:linePitch="312" w:charSpace="0"/>
        </w:sectPr>
      </w:pPr>
    </w:p>
    <w:p>
      <w:pPr>
        <w:rPr>
          <w:rFonts w:hint="eastAsia"/>
          <w:color w:val="auto"/>
          <w:highlight w:val="none"/>
        </w:rPr>
      </w:pPr>
      <w:bookmarkStart w:id="265" w:name="_Toc4485696"/>
    </w:p>
    <w:p>
      <w:pPr>
        <w:pStyle w:val="6"/>
        <w:adjustRightInd w:val="0"/>
        <w:snapToGrid w:val="0"/>
        <w:spacing w:before="0" w:after="0" w:line="360" w:lineRule="auto"/>
        <w:jc w:val="both"/>
        <w:rPr>
          <w:rFonts w:hint="eastAsia" w:ascii="宋体" w:hAnsi="宋体" w:eastAsia="宋体" w:cs="宋体"/>
          <w:color w:val="auto"/>
          <w:highlight w:val="none"/>
        </w:rPr>
      </w:pPr>
      <w:bookmarkStart w:id="266" w:name="_Toc4110"/>
    </w:p>
    <w:p>
      <w:pPr>
        <w:pStyle w:val="6"/>
        <w:adjustRightInd w:val="0"/>
        <w:snapToGrid w:val="0"/>
        <w:spacing w:before="0" w:after="0" w:line="360" w:lineRule="auto"/>
        <w:jc w:val="center"/>
        <w:rPr>
          <w:rFonts w:hint="eastAsia" w:ascii="宋体" w:hAnsi="宋体" w:eastAsia="宋体" w:cs="宋体"/>
          <w:color w:val="auto"/>
          <w:szCs w:val="44"/>
          <w:highlight w:val="none"/>
        </w:rPr>
      </w:pPr>
      <w:r>
        <w:rPr>
          <w:rFonts w:hint="eastAsia" w:ascii="宋体" w:hAnsi="宋体" w:eastAsia="宋体" w:cs="宋体"/>
          <w:color w:val="auto"/>
          <w:highlight w:val="none"/>
        </w:rPr>
        <w:t xml:space="preserve">第六章 </w:t>
      </w:r>
      <w:bookmarkEnd w:id="265"/>
      <w:r>
        <w:rPr>
          <w:rFonts w:hint="eastAsia" w:ascii="宋体" w:hAnsi="宋体" w:eastAsia="宋体" w:cs="宋体"/>
          <w:color w:val="auto"/>
          <w:sz w:val="28"/>
          <w:szCs w:val="28"/>
          <w:highlight w:val="none"/>
        </w:rPr>
        <w:t xml:space="preserve"> </w:t>
      </w:r>
      <w:r>
        <w:rPr>
          <w:rFonts w:hint="eastAsia" w:ascii="宋体" w:hAnsi="宋体" w:eastAsia="宋体" w:cs="宋体"/>
          <w:color w:val="auto"/>
          <w:szCs w:val="44"/>
          <w:highlight w:val="none"/>
        </w:rPr>
        <w:t>合同条款及格式</w:t>
      </w:r>
      <w:bookmarkEnd w:id="266"/>
    </w:p>
    <w:p>
      <w:pPr>
        <w:rPr>
          <w:rFonts w:hint="eastAsia" w:ascii="宋体" w:hAnsi="宋体" w:eastAsia="宋体" w:cs="宋体"/>
          <w:color w:val="auto"/>
          <w:sz w:val="44"/>
          <w:szCs w:val="52"/>
          <w:highlight w:val="none"/>
        </w:rPr>
      </w:pPr>
      <w:bookmarkStart w:id="267" w:name="_Toc54862164"/>
    </w:p>
    <w:p>
      <w:pPr>
        <w:jc w:val="left"/>
        <w:rPr>
          <w:rFonts w:ascii="Times New Roman" w:hAnsi="Times New Roman" w:eastAsia="仿宋_GB2312"/>
          <w:bCs/>
          <w:color w:val="auto"/>
          <w:sz w:val="32"/>
          <w:szCs w:val="32"/>
          <w:highlight w:val="none"/>
        </w:rPr>
      </w:pPr>
      <w:r>
        <w:rPr>
          <w:rFonts w:hint="eastAsia" w:ascii="宋体" w:hAnsi="宋体" w:eastAsia="宋体" w:cs="宋体"/>
          <w:color w:val="auto"/>
          <w:sz w:val="44"/>
          <w:szCs w:val="44"/>
          <w:highlight w:val="none"/>
        </w:rPr>
        <w:br w:type="page"/>
      </w:r>
      <w:bookmarkEnd w:id="267"/>
      <w:r>
        <w:rPr>
          <w:rFonts w:ascii="Times New Roman" w:hAnsi="Times New Roman" w:eastAsia="仿宋_GB2312"/>
          <w:bCs/>
          <w:color w:val="auto"/>
          <w:sz w:val="32"/>
          <w:szCs w:val="32"/>
          <w:highlight w:val="none"/>
        </w:rPr>
        <w:t>（GF—201</w:t>
      </w:r>
      <w:r>
        <w:rPr>
          <w:rFonts w:hint="eastAsia" w:ascii="Times New Roman" w:hAnsi="Times New Roman" w:eastAsia="仿宋_GB2312"/>
          <w:bCs/>
          <w:color w:val="auto"/>
          <w:sz w:val="32"/>
          <w:szCs w:val="32"/>
          <w:highlight w:val="none"/>
        </w:rPr>
        <w:t>7</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rPr>
        <w:t>0201）</w:t>
      </w:r>
    </w:p>
    <w:p>
      <w:pPr>
        <w:jc w:val="center"/>
        <w:rPr>
          <w:rFonts w:ascii="Times New Roman" w:hAnsi="Times New Roman" w:eastAsia="华文中宋"/>
          <w:b/>
          <w:color w:val="auto"/>
          <w:sz w:val="52"/>
          <w:szCs w:val="52"/>
          <w:highlight w:val="none"/>
        </w:rPr>
      </w:pPr>
    </w:p>
    <w:p>
      <w:pPr>
        <w:jc w:val="center"/>
        <w:rPr>
          <w:rFonts w:ascii="Times New Roman" w:hAnsi="Times New Roman" w:eastAsia="华文中宋"/>
          <w:b/>
          <w:color w:val="auto"/>
          <w:sz w:val="52"/>
          <w:szCs w:val="52"/>
          <w:highlight w:val="none"/>
        </w:rPr>
      </w:pPr>
    </w:p>
    <w:p>
      <w:pPr>
        <w:jc w:val="center"/>
        <w:rPr>
          <w:rFonts w:ascii="Times New Roman" w:hAnsi="Times New Roman" w:eastAsia="华文中宋"/>
          <w:b/>
          <w:color w:val="auto"/>
          <w:sz w:val="52"/>
          <w:szCs w:val="52"/>
          <w:highlight w:val="none"/>
        </w:rPr>
      </w:pPr>
    </w:p>
    <w:p>
      <w:pPr>
        <w:jc w:val="center"/>
        <w:rPr>
          <w:rFonts w:ascii="Times New Roman" w:hAnsi="Times New Roman" w:eastAsia="华文中宋"/>
          <w:b/>
          <w:color w:val="auto"/>
          <w:sz w:val="52"/>
          <w:szCs w:val="52"/>
          <w:highlight w:val="none"/>
        </w:rPr>
      </w:pPr>
    </w:p>
    <w:p>
      <w:pPr>
        <w:jc w:val="center"/>
        <w:rPr>
          <w:rFonts w:hint="eastAsia" w:ascii="Times New Roman" w:hAnsi="Times New Roman" w:eastAsia="华文中宋"/>
          <w:b/>
          <w:color w:val="auto"/>
          <w:sz w:val="72"/>
          <w:szCs w:val="52"/>
          <w:highlight w:val="none"/>
          <w:lang w:eastAsia="zh-CN"/>
        </w:rPr>
      </w:pPr>
      <w:r>
        <w:rPr>
          <w:rFonts w:ascii="Times New Roman" w:hAnsi="Times New Roman" w:eastAsia="华文中宋"/>
          <w:b/>
          <w:color w:val="auto"/>
          <w:sz w:val="72"/>
          <w:szCs w:val="52"/>
          <w:highlight w:val="none"/>
        </w:rPr>
        <w:t>建设工程施工合同</w:t>
      </w:r>
    </w:p>
    <w:p>
      <w:pPr>
        <w:jc w:val="center"/>
        <w:rPr>
          <w:rFonts w:ascii="Times New Roman" w:hAnsi="Times New Roman" w:eastAsia="华文中宋"/>
          <w:b/>
          <w:color w:val="auto"/>
          <w:sz w:val="52"/>
          <w:szCs w:val="52"/>
          <w:highlight w:val="none"/>
        </w:rPr>
      </w:pPr>
      <w:r>
        <w:rPr>
          <w:rFonts w:ascii="Times New Roman" w:hAnsi="Times New Roman" w:eastAsia="华文中宋"/>
          <w:b/>
          <w:color w:val="auto"/>
          <w:sz w:val="52"/>
          <w:szCs w:val="52"/>
          <w:highlight w:val="none"/>
        </w:rPr>
        <w:t>（示范文本）</w:t>
      </w:r>
    </w:p>
    <w:p>
      <w:pPr>
        <w:jc w:val="center"/>
        <w:rPr>
          <w:rFonts w:ascii="Times New Roman" w:hAnsi="Times New Roman" w:eastAsia="华文中宋"/>
          <w:b/>
          <w:color w:val="auto"/>
          <w:sz w:val="52"/>
          <w:szCs w:val="52"/>
          <w:highlight w:val="none"/>
        </w:rPr>
      </w:pPr>
    </w:p>
    <w:p>
      <w:pPr>
        <w:jc w:val="center"/>
        <w:rPr>
          <w:rFonts w:ascii="Times New Roman" w:hAnsi="Times New Roman" w:eastAsia="黑体"/>
          <w:b/>
          <w:color w:val="auto"/>
          <w:sz w:val="72"/>
          <w:szCs w:val="72"/>
          <w:highlight w:val="none"/>
        </w:rPr>
      </w:pPr>
    </w:p>
    <w:p>
      <w:pPr>
        <w:jc w:val="center"/>
        <w:rPr>
          <w:rFonts w:ascii="Times New Roman" w:hAnsi="Times New Roman" w:eastAsia="楷体_GB2312"/>
          <w:b/>
          <w:color w:val="auto"/>
          <w:sz w:val="72"/>
          <w:szCs w:val="72"/>
          <w:highlight w:val="none"/>
        </w:rPr>
      </w:pPr>
    </w:p>
    <w:p>
      <w:pPr>
        <w:jc w:val="center"/>
        <w:rPr>
          <w:rFonts w:ascii="Times New Roman" w:hAnsi="Times New Roman" w:eastAsia="黑体"/>
          <w:b/>
          <w:color w:val="auto"/>
          <w:sz w:val="52"/>
          <w:szCs w:val="52"/>
          <w:highlight w:val="none"/>
        </w:rPr>
      </w:pPr>
    </w:p>
    <w:p>
      <w:pPr>
        <w:rPr>
          <w:rFonts w:ascii="Times New Roman" w:hAnsi="Times New Roman"/>
          <w:b/>
          <w:color w:val="auto"/>
          <w:sz w:val="28"/>
          <w:szCs w:val="28"/>
          <w:highlight w:val="none"/>
        </w:rPr>
      </w:pPr>
    </w:p>
    <w:p>
      <w:pPr>
        <w:rPr>
          <w:rFonts w:ascii="Times New Roman" w:hAnsi="Times New Roman"/>
          <w:b/>
          <w:color w:val="auto"/>
          <w:sz w:val="28"/>
          <w:szCs w:val="28"/>
          <w:highlight w:val="none"/>
        </w:rPr>
      </w:pPr>
    </w:p>
    <w:p>
      <w:pPr>
        <w:rPr>
          <w:rFonts w:ascii="Times New Roman" w:hAnsi="Times New Roman"/>
          <w:b/>
          <w:color w:val="auto"/>
          <w:sz w:val="28"/>
          <w:szCs w:val="28"/>
          <w:highlight w:val="none"/>
        </w:rPr>
      </w:pPr>
    </w:p>
    <w:p>
      <w:pPr>
        <w:rPr>
          <w:rFonts w:ascii="Times New Roman" w:hAnsi="Times New Roman"/>
          <w:b/>
          <w:color w:val="auto"/>
          <w:sz w:val="28"/>
          <w:szCs w:val="28"/>
          <w:highlight w:val="none"/>
        </w:rPr>
      </w:pPr>
    </w:p>
    <w:p>
      <w:pPr>
        <w:rPr>
          <w:rFonts w:ascii="Times New Roman" w:hAnsi="Times New Roman"/>
          <w:b/>
          <w:color w:val="auto"/>
          <w:sz w:val="28"/>
          <w:szCs w:val="28"/>
          <w:highlight w:val="none"/>
        </w:rPr>
      </w:pPr>
    </w:p>
    <w:p>
      <w:pPr>
        <w:ind w:right="2719" w:rightChars="1295" w:firstLine="2738" w:firstLineChars="1304"/>
        <w:jc w:val="distribute"/>
        <w:rPr>
          <w:rFonts w:ascii="Times New Roman" w:hAnsi="Times New Roman"/>
          <w:b/>
          <w:color w:val="auto"/>
          <w:sz w:val="32"/>
          <w:szCs w:val="28"/>
          <w:highlight w:val="none"/>
        </w:rPr>
      </w:pPr>
      <w:r>
        <w:rPr>
          <w:rFonts w:ascii="Times New Roman" w:hAnsi="Times New Roman"/>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9" name="文本框 9"/>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0288;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D+/j2gEAgAADAQAAA4AAAAAAAAAAQAgAAAAJwEA&#10;AGRycy9lMm9Eb2MueG1sUEsFBgAAAAAGAAYAWQEAAJ0FAAAAAA==&#10;">
                <v:fill on="f" focussize="0,0"/>
                <v:stroke color="#FFFFFF" joinstyle="miter"/>
                <v:imagedata o:title=""/>
                <o:lock v:ext="edit" aspectratio="f"/>
                <v:textbox>
                  <w:txbxContent>
                    <w:p>
                      <w:pPr>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32"/>
          <w:szCs w:val="28"/>
          <w:highlight w:val="none"/>
        </w:rPr>
        <w:t>住房城乡建设部</w:t>
      </w:r>
    </w:p>
    <w:p>
      <w:pPr>
        <w:ind w:right="2719" w:rightChars="1295" w:firstLine="2750" w:firstLineChars="856"/>
        <w:jc w:val="distribute"/>
        <w:rPr>
          <w:rFonts w:hint="eastAsia" w:ascii="Times New Roman" w:hAnsi="Times New Roman"/>
          <w:b/>
          <w:color w:val="auto"/>
          <w:sz w:val="32"/>
          <w:szCs w:val="28"/>
          <w:highlight w:val="none"/>
        </w:rPr>
      </w:pPr>
      <w:r>
        <w:rPr>
          <w:rFonts w:ascii="Times New Roman" w:hAnsi="Times New Roman"/>
          <w:b/>
          <w:color w:val="auto"/>
          <w:sz w:val="32"/>
          <w:szCs w:val="28"/>
          <w:highlight w:val="none"/>
        </w:rPr>
        <w:t>国家工商行政管理总局</w:t>
      </w:r>
      <w:bookmarkStart w:id="268" w:name="_Toc296503025"/>
      <w:bookmarkStart w:id="269" w:name="_Toc296890982"/>
    </w:p>
    <w:p>
      <w:pPr>
        <w:rPr>
          <w:rFonts w:hint="eastAsia"/>
          <w:color w:val="auto"/>
          <w:sz w:val="24"/>
          <w:szCs w:val="24"/>
          <w:highlight w:val="none"/>
          <w:lang w:val="zh-CN"/>
        </w:rPr>
      </w:pPr>
      <w:bookmarkStart w:id="270" w:name="_Toc507166965"/>
      <w:r>
        <w:rPr>
          <w:rFonts w:hint="eastAsia"/>
          <w:color w:val="auto"/>
          <w:sz w:val="24"/>
          <w:szCs w:val="24"/>
          <w:highlight w:val="none"/>
          <w:lang w:val="zh-CN"/>
        </w:rPr>
        <w:br w:type="page"/>
      </w:r>
    </w:p>
    <w:p>
      <w:pPr>
        <w:pStyle w:val="8"/>
        <w:jc w:val="center"/>
        <w:rPr>
          <w:rFonts w:hint="eastAsia"/>
          <w:color w:val="auto"/>
          <w:sz w:val="24"/>
          <w:szCs w:val="24"/>
          <w:highlight w:val="none"/>
          <w:lang w:val="zh-CN"/>
        </w:rPr>
      </w:pPr>
      <w:r>
        <w:rPr>
          <w:rFonts w:hint="eastAsia"/>
          <w:color w:val="auto"/>
          <w:sz w:val="24"/>
          <w:szCs w:val="24"/>
          <w:highlight w:val="none"/>
          <w:lang w:val="zh-CN"/>
        </w:rPr>
        <w:t>说  明</w:t>
      </w:r>
      <w:bookmarkEnd w:id="270"/>
    </w:p>
    <w:p>
      <w:pPr>
        <w:ind w:firstLine="480" w:firstLineChars="200"/>
        <w:rPr>
          <w:rFonts w:ascii="仿宋_GB2312" w:eastAsia="仿宋_GB2312"/>
          <w:color w:val="auto"/>
          <w:sz w:val="24"/>
          <w:szCs w:val="24"/>
          <w:highlight w:val="none"/>
        </w:rPr>
      </w:pPr>
      <w:r>
        <w:rPr>
          <w:rFonts w:hint="eastAsia" w:ascii="仿宋_GB2312" w:eastAsia="仿宋_GB2312"/>
          <w:color w:val="auto"/>
          <w:sz w:val="24"/>
          <w:szCs w:val="24"/>
          <w:highlight w:val="none"/>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pStyle w:val="8"/>
        <w:rPr>
          <w:rFonts w:hint="eastAsia"/>
          <w:color w:val="auto"/>
          <w:sz w:val="24"/>
          <w:szCs w:val="24"/>
          <w:highlight w:val="none"/>
        </w:rPr>
      </w:pPr>
      <w:bookmarkStart w:id="271" w:name="_Toc507166966"/>
      <w:r>
        <w:rPr>
          <w:rFonts w:hint="eastAsia"/>
          <w:color w:val="auto"/>
          <w:sz w:val="24"/>
          <w:szCs w:val="24"/>
          <w:highlight w:val="none"/>
        </w:rPr>
        <w:t>一、《示范文本》的组成</w:t>
      </w:r>
      <w:bookmarkEnd w:id="271"/>
    </w:p>
    <w:p>
      <w:pPr>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《示范文本》由合同协议书、通用合同条款和专用合同条款三部分组成。</w:t>
      </w:r>
    </w:p>
    <w:p>
      <w:pPr>
        <w:pStyle w:val="9"/>
        <w:rPr>
          <w:rFonts w:hint="eastAsia"/>
          <w:color w:val="auto"/>
          <w:sz w:val="24"/>
          <w:szCs w:val="24"/>
          <w:highlight w:val="none"/>
        </w:rPr>
      </w:pPr>
      <w:bookmarkStart w:id="272" w:name="_Toc507166967"/>
      <w:r>
        <w:rPr>
          <w:rFonts w:hint="eastAsia"/>
          <w:color w:val="auto"/>
          <w:sz w:val="24"/>
          <w:szCs w:val="24"/>
          <w:highlight w:val="none"/>
        </w:rPr>
        <w:t>（一）合同协议书</w:t>
      </w:r>
      <w:bookmarkEnd w:id="272"/>
    </w:p>
    <w:p>
      <w:pPr>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pStyle w:val="9"/>
        <w:rPr>
          <w:rFonts w:hint="eastAsia"/>
          <w:color w:val="auto"/>
          <w:sz w:val="24"/>
          <w:szCs w:val="24"/>
          <w:highlight w:val="none"/>
        </w:rPr>
      </w:pPr>
      <w:bookmarkStart w:id="273" w:name="_Toc507166968"/>
      <w:r>
        <w:rPr>
          <w:rFonts w:hint="eastAsia"/>
          <w:color w:val="auto"/>
          <w:sz w:val="24"/>
          <w:szCs w:val="24"/>
          <w:highlight w:val="none"/>
        </w:rPr>
        <w:t>（二）通用合同条款</w:t>
      </w:r>
      <w:bookmarkEnd w:id="273"/>
    </w:p>
    <w:p>
      <w:pPr>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通用合同条款是合同当事人根据《中华人民共和国建筑法》、《中华人民共和国合同法》等法律法规的规定，就工程建设的实施及相关事项，对合同当事人的权利义务作出的原则性约定。</w:t>
      </w:r>
    </w:p>
    <w:p>
      <w:pPr>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pStyle w:val="9"/>
        <w:rPr>
          <w:rFonts w:hint="eastAsia"/>
          <w:color w:val="auto"/>
          <w:sz w:val="24"/>
          <w:szCs w:val="24"/>
          <w:highlight w:val="none"/>
        </w:rPr>
      </w:pPr>
      <w:bookmarkStart w:id="274" w:name="_Toc507166969"/>
      <w:r>
        <w:rPr>
          <w:rFonts w:hint="eastAsia"/>
          <w:color w:val="auto"/>
          <w:sz w:val="24"/>
          <w:szCs w:val="24"/>
          <w:highlight w:val="none"/>
        </w:rPr>
        <w:t>（三）专用合同条款</w:t>
      </w:r>
      <w:bookmarkEnd w:id="274"/>
    </w:p>
    <w:p>
      <w:pPr>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ind w:right="25" w:rightChars="12"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1.专用合同条款的编号应与相应的通用合同条款的编号一致；</w:t>
      </w:r>
    </w:p>
    <w:p>
      <w:pPr>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2.合同当事人可以通过对专用合同条款的修改，满足具体建设工程的特殊要求，避免直接修改通用合同条款；</w:t>
      </w:r>
    </w:p>
    <w:p>
      <w:pPr>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3.在专用合同条款中有横道线的地方，合同当事人可针对相应的通用合同条款进行细化、完善、补充、修改或另行约定；如无细化、完善、补充、修改或另行约定，则填写“无”或划“/”。</w:t>
      </w:r>
    </w:p>
    <w:p>
      <w:pPr>
        <w:pStyle w:val="8"/>
        <w:rPr>
          <w:rFonts w:hint="eastAsia"/>
          <w:color w:val="auto"/>
          <w:sz w:val="24"/>
          <w:szCs w:val="24"/>
          <w:highlight w:val="none"/>
        </w:rPr>
      </w:pPr>
      <w:bookmarkStart w:id="275" w:name="_Toc507166970"/>
      <w:r>
        <w:rPr>
          <w:rFonts w:hint="eastAsia"/>
          <w:color w:val="auto"/>
          <w:sz w:val="24"/>
          <w:szCs w:val="24"/>
          <w:highlight w:val="none"/>
        </w:rPr>
        <w:t>二、《示范文本》的性质和适用范围</w:t>
      </w:r>
      <w:bookmarkEnd w:id="275"/>
    </w:p>
    <w:p>
      <w:pPr>
        <w:ind w:firstLine="480" w:firstLineChars="200"/>
        <w:rPr>
          <w:rFonts w:ascii="仿宋_GB2312" w:eastAsia="仿宋_GB2312"/>
          <w:color w:val="auto"/>
          <w:sz w:val="24"/>
          <w:szCs w:val="24"/>
          <w:highlight w:val="none"/>
        </w:rPr>
        <w:sectPr>
          <w:footerReference r:id="rId13" w:type="first"/>
          <w:footerReference r:id="rId12" w:type="default"/>
          <w:pgSz w:w="11906" w:h="16838"/>
          <w:pgMar w:top="1418" w:right="1555" w:bottom="1418" w:left="1531" w:header="851" w:footer="992" w:gutter="0"/>
          <w:pgNumType w:fmt="decimal"/>
          <w:cols w:space="720" w:num="1"/>
          <w:titlePg/>
          <w:docGrid w:type="lines" w:linePitch="312" w:charSpace="0"/>
        </w:sectPr>
      </w:pPr>
      <w:r>
        <w:rPr>
          <w:rFonts w:hint="eastAsia" w:ascii="仿宋_GB2312" w:eastAsia="仿宋_GB2312"/>
          <w:color w:val="auto"/>
          <w:sz w:val="24"/>
          <w:szCs w:val="24"/>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pStyle w:val="9"/>
        <w:numPr>
          <w:ilvl w:val="0"/>
          <w:numId w:val="13"/>
        </w:numPr>
        <w:jc w:val="center"/>
        <w:rPr>
          <w:color w:val="auto"/>
          <w:sz w:val="24"/>
          <w:szCs w:val="24"/>
          <w:highlight w:val="none"/>
        </w:rPr>
      </w:pPr>
      <w:bookmarkStart w:id="276" w:name="_Toc507166971"/>
      <w:bookmarkStart w:id="277" w:name="_Toc351203480"/>
      <w:r>
        <w:rPr>
          <w:color w:val="auto"/>
          <w:sz w:val="24"/>
          <w:szCs w:val="24"/>
          <w:highlight w:val="none"/>
        </w:rPr>
        <w:t>合同协议书</w:t>
      </w:r>
      <w:bookmarkEnd w:id="268"/>
      <w:bookmarkEnd w:id="269"/>
      <w:bookmarkEnd w:id="276"/>
      <w:bookmarkEnd w:id="277"/>
    </w:p>
    <w:p>
      <w:pPr>
        <w:numPr>
          <w:ilvl w:val="0"/>
          <w:numId w:val="0"/>
        </w:numPr>
        <w:rPr>
          <w:color w:val="auto"/>
          <w:highlight w:val="none"/>
        </w:rPr>
      </w:pPr>
    </w:p>
    <w:p>
      <w:pPr>
        <w:pStyle w:val="149"/>
        <w:rPr>
          <w:color w:val="auto"/>
          <w:highlight w:val="none"/>
        </w:rPr>
      </w:pPr>
    </w:p>
    <w:p>
      <w:pPr>
        <w:spacing w:line="360" w:lineRule="auto"/>
        <w:rPr>
          <w:rFonts w:ascii="Times New Roman" w:hAnsi="Times New Roman" w:eastAsia="仿宋_GB2312"/>
          <w:b/>
          <w:color w:val="auto"/>
          <w:sz w:val="24"/>
          <w:szCs w:val="24"/>
          <w:highlight w:val="none"/>
          <w:u w:val="single"/>
        </w:rPr>
      </w:pPr>
      <w:r>
        <w:rPr>
          <w:rFonts w:ascii="Times New Roman" w:hAnsi="Times New Roman" w:eastAsia="仿宋_GB2312"/>
          <w:b/>
          <w:color w:val="auto"/>
          <w:sz w:val="24"/>
          <w:szCs w:val="24"/>
          <w:highlight w:val="none"/>
        </w:rPr>
        <w:t>发包人（全称）：</w:t>
      </w:r>
      <w:r>
        <w:rPr>
          <w:rFonts w:hint="eastAsia"/>
          <w:b/>
          <w:bCs/>
          <w:color w:val="auto"/>
          <w:sz w:val="24"/>
          <w:szCs w:val="24"/>
          <w:highlight w:val="none"/>
          <w:u w:val="single"/>
          <w:lang w:eastAsia="zh-CN"/>
        </w:rPr>
        <w:t>凌海市城乡建设服务中心</w:t>
      </w:r>
      <w:r>
        <w:rPr>
          <w:rFonts w:hint="eastAsia" w:ascii="Times New Roman" w:hAnsi="Times New Roman" w:eastAsia="仿宋_GB2312"/>
          <w:b/>
          <w:color w:val="auto"/>
          <w:sz w:val="24"/>
          <w:szCs w:val="24"/>
          <w:highlight w:val="none"/>
          <w:u w:val="single"/>
        </w:rPr>
        <w:t xml:space="preserve">  </w:t>
      </w:r>
      <w:r>
        <w:rPr>
          <w:rFonts w:ascii="Times New Roman" w:hAnsi="Times New Roman" w:eastAsia="仿宋_GB2312"/>
          <w:b/>
          <w:color w:val="auto"/>
          <w:sz w:val="24"/>
          <w:szCs w:val="24"/>
          <w:highlight w:val="none"/>
          <w:u w:val="single"/>
        </w:rPr>
        <w:t xml:space="preserve">  </w:t>
      </w:r>
      <w:r>
        <w:rPr>
          <w:rFonts w:hint="eastAsia" w:ascii="Times New Roman" w:hAnsi="Times New Roman" w:eastAsia="仿宋_GB2312"/>
          <w:b/>
          <w:color w:val="auto"/>
          <w:sz w:val="24"/>
          <w:szCs w:val="24"/>
          <w:highlight w:val="none"/>
          <w:u w:val="single"/>
        </w:rPr>
        <w:t xml:space="preserve"> </w:t>
      </w:r>
      <w:r>
        <w:rPr>
          <w:rFonts w:ascii="Times New Roman" w:hAnsi="Times New Roman" w:eastAsia="仿宋_GB2312"/>
          <w:b/>
          <w:color w:val="auto"/>
          <w:sz w:val="24"/>
          <w:szCs w:val="24"/>
          <w:highlight w:val="none"/>
          <w:u w:val="single"/>
        </w:rPr>
        <w:t xml:space="preserve">  </w:t>
      </w:r>
      <w:r>
        <w:rPr>
          <w:rFonts w:hint="eastAsia" w:ascii="Times New Roman" w:hAnsi="Times New Roman" w:eastAsia="仿宋_GB2312"/>
          <w:b/>
          <w:color w:val="auto"/>
          <w:sz w:val="24"/>
          <w:szCs w:val="24"/>
          <w:highlight w:val="none"/>
          <w:u w:val="single"/>
        </w:rPr>
        <w:t xml:space="preserve"> </w:t>
      </w:r>
      <w:r>
        <w:rPr>
          <w:rFonts w:ascii="Times New Roman" w:hAnsi="Times New Roman" w:eastAsia="仿宋_GB2312"/>
          <w:b/>
          <w:color w:val="auto"/>
          <w:sz w:val="24"/>
          <w:szCs w:val="24"/>
          <w:highlight w:val="none"/>
          <w:u w:val="single"/>
        </w:rPr>
        <w:t xml:space="preserve">  </w:t>
      </w:r>
    </w:p>
    <w:p>
      <w:pPr>
        <w:spacing w:line="360" w:lineRule="auto"/>
        <w:rPr>
          <w:rFonts w:ascii="Times New Roman" w:hAnsi="Times New Roman" w:eastAsia="仿宋_GB2312"/>
          <w:b/>
          <w:color w:val="auto"/>
          <w:sz w:val="24"/>
          <w:szCs w:val="24"/>
          <w:highlight w:val="none"/>
          <w:u w:val="single"/>
        </w:rPr>
      </w:pPr>
      <w:r>
        <w:rPr>
          <w:rFonts w:ascii="Times New Roman" w:hAnsi="Times New Roman" w:eastAsia="仿宋_GB2312"/>
          <w:b/>
          <w:color w:val="auto"/>
          <w:sz w:val="24"/>
          <w:szCs w:val="24"/>
          <w:highlight w:val="none"/>
        </w:rPr>
        <w:t>承包人（全称）：</w:t>
      </w:r>
      <w:r>
        <w:rPr>
          <w:rFonts w:ascii="Times New Roman" w:hAnsi="Times New Roman" w:eastAsia="仿宋_GB2312"/>
          <w:b/>
          <w:color w:val="auto"/>
          <w:sz w:val="24"/>
          <w:szCs w:val="24"/>
          <w:highlight w:val="none"/>
          <w:u w:val="single"/>
        </w:rPr>
        <w:t xml:space="preserve">          </w:t>
      </w:r>
      <w:r>
        <w:rPr>
          <w:rFonts w:hint="eastAsia" w:ascii="Times New Roman" w:hAnsi="Times New Roman" w:eastAsia="仿宋_GB2312"/>
          <w:b/>
          <w:color w:val="auto"/>
          <w:sz w:val="24"/>
          <w:szCs w:val="24"/>
          <w:highlight w:val="none"/>
          <w:u w:val="single"/>
        </w:rPr>
        <w:t xml:space="preserve"> </w:t>
      </w:r>
      <w:r>
        <w:rPr>
          <w:rFonts w:ascii="Times New Roman" w:hAnsi="Times New Roman" w:eastAsia="仿宋_GB2312"/>
          <w:b/>
          <w:color w:val="auto"/>
          <w:sz w:val="24"/>
          <w:szCs w:val="24"/>
          <w:highlight w:val="none"/>
          <w:u w:val="single"/>
        </w:rPr>
        <w:t xml:space="preserve">       </w:t>
      </w:r>
      <w:r>
        <w:rPr>
          <w:rFonts w:hint="eastAsia" w:ascii="Times New Roman" w:hAnsi="Times New Roman" w:eastAsia="仿宋_GB2312"/>
          <w:b/>
          <w:color w:val="auto"/>
          <w:sz w:val="24"/>
          <w:szCs w:val="24"/>
          <w:highlight w:val="none"/>
          <w:u w:val="single"/>
        </w:rPr>
        <w:t xml:space="preserve"> </w:t>
      </w:r>
      <w:r>
        <w:rPr>
          <w:rFonts w:ascii="Times New Roman" w:hAnsi="Times New Roman" w:eastAsia="仿宋_GB2312"/>
          <w:b/>
          <w:color w:val="auto"/>
          <w:sz w:val="24"/>
          <w:szCs w:val="24"/>
          <w:highlight w:val="none"/>
          <w:u w:val="single"/>
        </w:rPr>
        <w:t xml:space="preserve">      </w:t>
      </w:r>
      <w:r>
        <w:rPr>
          <w:rFonts w:hint="eastAsia" w:ascii="Times New Roman" w:hAnsi="Times New Roman" w:eastAsia="仿宋_GB2312"/>
          <w:b/>
          <w:color w:val="auto"/>
          <w:sz w:val="24"/>
          <w:szCs w:val="24"/>
          <w:highlight w:val="none"/>
          <w:u w:val="single"/>
        </w:rPr>
        <w:t xml:space="preserve">  </w:t>
      </w:r>
      <w:r>
        <w:rPr>
          <w:rFonts w:ascii="Times New Roman" w:hAnsi="Times New Roman" w:eastAsia="仿宋_GB2312"/>
          <w:b/>
          <w:color w:val="auto"/>
          <w:sz w:val="24"/>
          <w:szCs w:val="24"/>
          <w:highlight w:val="none"/>
          <w:u w:val="single"/>
        </w:rPr>
        <w:t xml:space="preserve">  </w:t>
      </w:r>
      <w:r>
        <w:rPr>
          <w:rFonts w:hint="eastAsia" w:ascii="Times New Roman" w:hAnsi="Times New Roman" w:eastAsia="仿宋_GB2312"/>
          <w:b/>
          <w:color w:val="auto"/>
          <w:sz w:val="24"/>
          <w:szCs w:val="24"/>
          <w:highlight w:val="none"/>
          <w:u w:val="single"/>
        </w:rPr>
        <w:t xml:space="preserve">  </w:t>
      </w:r>
      <w:r>
        <w:rPr>
          <w:rFonts w:ascii="Times New Roman" w:hAnsi="Times New Roman" w:eastAsia="仿宋_GB2312"/>
          <w:b/>
          <w:color w:val="auto"/>
          <w:sz w:val="24"/>
          <w:szCs w:val="24"/>
          <w:highlight w:val="none"/>
          <w:u w:val="single"/>
        </w:rPr>
        <w:t xml:space="preserve">  </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根据《中华人民共和国合同法》、《中华人民共和国建筑法》及有关法律规定，遵循平等、自愿、公平和诚实信用的原则，双方就</w:t>
      </w:r>
      <w:r>
        <w:rPr>
          <w:rFonts w:ascii="Times New Roman" w:hAnsi="Times New Roman" w:eastAsia="仿宋_GB2312"/>
          <w:color w:val="auto"/>
          <w:sz w:val="24"/>
          <w:szCs w:val="24"/>
          <w:highlight w:val="none"/>
          <w:u w:val="single"/>
        </w:rPr>
        <w:t xml:space="preserve"> </w:t>
      </w:r>
      <w:r>
        <w:rPr>
          <w:rFonts w:hint="eastAsia" w:eastAsia="仿宋_GB2312"/>
          <w:color w:val="auto"/>
          <w:sz w:val="24"/>
          <w:szCs w:val="24"/>
          <w:highlight w:val="none"/>
          <w:u w:val="single"/>
          <w:lang w:eastAsia="zh-CN"/>
        </w:rPr>
        <w:t>东联路（凌海段）路灯线路维修改造工程</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施工及有关事项协商一致</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共同达成如下协议：</w:t>
      </w:r>
    </w:p>
    <w:p>
      <w:pPr>
        <w:pStyle w:val="10"/>
        <w:rPr>
          <w:color w:val="auto"/>
          <w:sz w:val="24"/>
          <w:szCs w:val="24"/>
          <w:highlight w:val="none"/>
        </w:rPr>
      </w:pPr>
      <w:r>
        <w:rPr>
          <w:color w:val="auto"/>
          <w:sz w:val="24"/>
          <w:szCs w:val="24"/>
          <w:highlight w:val="none"/>
        </w:rPr>
        <w:t xml:space="preserve">    </w:t>
      </w:r>
      <w:bookmarkStart w:id="278" w:name="_Toc351203481"/>
      <w:r>
        <w:rPr>
          <w:color w:val="auto"/>
          <w:sz w:val="24"/>
          <w:szCs w:val="24"/>
          <w:highlight w:val="none"/>
        </w:rPr>
        <w:t>一、工程概况</w:t>
      </w:r>
      <w:bookmarkEnd w:id="278"/>
    </w:p>
    <w:p>
      <w:pPr>
        <w:spacing w:line="360" w:lineRule="auto"/>
        <w:ind w:firstLine="470" w:firstLineChars="196"/>
        <w:rPr>
          <w:rFonts w:ascii="Times New Roman" w:hAnsi="Times New Roman" w:eastAsia="仿宋_GB2312"/>
          <w:color w:val="auto"/>
          <w:sz w:val="24"/>
          <w:szCs w:val="24"/>
          <w:highlight w:val="none"/>
          <w:u w:val="single"/>
        </w:rPr>
      </w:pPr>
      <w:r>
        <w:rPr>
          <w:rFonts w:ascii="Times New Roman" w:hAnsi="Times New Roman" w:eastAsia="仿宋_GB2312"/>
          <w:bCs/>
          <w:color w:val="auto"/>
          <w:sz w:val="24"/>
          <w:szCs w:val="24"/>
          <w:highlight w:val="none"/>
        </w:rPr>
        <w:t>1.工程名称</w:t>
      </w:r>
      <w:r>
        <w:rPr>
          <w:rFonts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u w:val="single"/>
        </w:rPr>
        <w:t xml:space="preserve"> </w:t>
      </w:r>
      <w:r>
        <w:rPr>
          <w:rFonts w:hint="eastAsia" w:eastAsia="仿宋_GB2312"/>
          <w:color w:val="auto"/>
          <w:sz w:val="24"/>
          <w:szCs w:val="24"/>
          <w:highlight w:val="none"/>
          <w:u w:val="single"/>
          <w:lang w:eastAsia="zh-CN"/>
        </w:rPr>
        <w:t>东联路（凌海段）路灯线路维修改造工程</w:t>
      </w:r>
      <w:r>
        <w:rPr>
          <w:rFonts w:hint="eastAsia" w:ascii="Times New Roman" w:hAnsi="Times New Roman" w:eastAsia="仿宋_GB2312" w:cs="Times New Roman"/>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70" w:firstLineChars="196"/>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2.工程地点：</w:t>
      </w:r>
      <w:r>
        <w:rPr>
          <w:rFonts w:ascii="Times New Roman" w:hAnsi="Times New Roman" w:eastAsia="仿宋_GB2312"/>
          <w:color w:val="auto"/>
          <w:sz w:val="24"/>
          <w:szCs w:val="24"/>
          <w:highlight w:val="none"/>
          <w:u w:val="single"/>
        </w:rPr>
        <w:t xml:space="preserve"> </w:t>
      </w:r>
      <w:r>
        <w:rPr>
          <w:rFonts w:hint="eastAsia" w:eastAsia="仿宋_GB2312"/>
          <w:color w:val="auto"/>
          <w:sz w:val="24"/>
          <w:szCs w:val="24"/>
          <w:highlight w:val="none"/>
          <w:u w:val="single"/>
          <w:lang w:val="en-US" w:eastAsia="zh-CN"/>
        </w:rPr>
        <w:t xml:space="preserve">                      </w:t>
      </w:r>
      <w:r>
        <w:rPr>
          <w:rFonts w:hint="eastAsia" w:ascii="Times New Roman" w:hAnsi="Times New Roman" w:eastAsia="仿宋_GB2312" w:cs="Times New Roman"/>
          <w:color w:val="auto"/>
          <w:sz w:val="24"/>
          <w:szCs w:val="24"/>
          <w:highlight w:val="none"/>
          <w:u w:val="single"/>
          <w:lang w:eastAsia="zh-CN"/>
        </w:rPr>
        <w:t xml:space="preserve">   </w:t>
      </w:r>
      <w:r>
        <w:rPr>
          <w:rFonts w:ascii="Times New Roman" w:hAnsi="Times New Roman" w:eastAsia="仿宋_GB2312"/>
          <w:color w:val="auto"/>
          <w:sz w:val="24"/>
          <w:szCs w:val="24"/>
          <w:highlight w:val="none"/>
          <w:u w:val="single"/>
        </w:rPr>
        <w:t xml:space="preserve">    </w:t>
      </w:r>
      <w:r>
        <w:rPr>
          <w:rFonts w:hint="eastAsia"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70" w:firstLineChars="196"/>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3.工程立项批准文号：</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bCs/>
          <w:color w:val="auto"/>
          <w:sz w:val="24"/>
          <w:szCs w:val="24"/>
          <w:highlight w:val="none"/>
        </w:rPr>
        <w:t>。</w:t>
      </w:r>
    </w:p>
    <w:p>
      <w:pPr>
        <w:spacing w:line="360" w:lineRule="auto"/>
        <w:ind w:firstLine="470" w:firstLineChars="196"/>
        <w:rPr>
          <w:rFonts w:hint="eastAsia"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4.资金来源：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bCs/>
          <w:color w:val="auto"/>
          <w:sz w:val="24"/>
          <w:szCs w:val="24"/>
          <w:highlight w:val="none"/>
        </w:rPr>
        <w:t>。</w:t>
      </w:r>
    </w:p>
    <w:p>
      <w:pPr>
        <w:spacing w:line="360" w:lineRule="auto"/>
        <w:ind w:firstLine="470" w:firstLineChars="196"/>
        <w:rPr>
          <w:rFonts w:hint="eastAsia" w:ascii="Times New Roman" w:hAnsi="Times New Roman" w:eastAsia="仿宋_GB2312"/>
          <w:bCs/>
          <w:color w:val="auto"/>
          <w:sz w:val="24"/>
          <w:szCs w:val="24"/>
          <w:highlight w:val="none"/>
        </w:rPr>
      </w:pPr>
      <w:r>
        <w:rPr>
          <w:rFonts w:hint="eastAsia" w:ascii="Times New Roman" w:hAnsi="Times New Roman" w:eastAsia="仿宋_GB2312"/>
          <w:bCs/>
          <w:color w:val="auto"/>
          <w:sz w:val="24"/>
          <w:szCs w:val="24"/>
          <w:highlight w:val="none"/>
        </w:rPr>
        <w:t>5.工程内容：</w:t>
      </w:r>
      <w:r>
        <w:rPr>
          <w:rFonts w:ascii="Times New Roman" w:hAnsi="Times New Roman" w:eastAsia="仿宋_GB2312"/>
          <w:color w:val="auto"/>
          <w:sz w:val="24"/>
          <w:szCs w:val="24"/>
          <w:highlight w:val="none"/>
          <w:u w:val="single"/>
        </w:rPr>
        <w:t xml:space="preserve"> </w:t>
      </w:r>
      <w:r>
        <w:rPr>
          <w:rFonts w:hint="eastAsia" w:eastAsia="仿宋_GB2312"/>
          <w:color w:val="auto"/>
          <w:sz w:val="24"/>
          <w:szCs w:val="24"/>
          <w:highlight w:val="none"/>
          <w:u w:val="single"/>
          <w:lang w:eastAsia="zh-CN"/>
        </w:rPr>
        <w:t>工程量清单所列全部内容</w:t>
      </w:r>
      <w:r>
        <w:rPr>
          <w:rFonts w:hint="eastAsia"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bCs/>
          <w:color w:val="auto"/>
          <w:sz w:val="24"/>
          <w:szCs w:val="24"/>
          <w:highlight w:val="none"/>
        </w:rPr>
        <w:t>。</w:t>
      </w:r>
    </w:p>
    <w:p>
      <w:pPr>
        <w:spacing w:line="360" w:lineRule="auto"/>
        <w:ind w:firstLine="470" w:firstLineChars="196"/>
        <w:rPr>
          <w:rFonts w:ascii="Times New Roman" w:hAnsi="Times New Roman" w:eastAsia="仿宋_GB2312"/>
          <w:bCs/>
          <w:color w:val="auto"/>
          <w:sz w:val="24"/>
          <w:szCs w:val="24"/>
          <w:highlight w:val="none"/>
        </w:rPr>
      </w:pPr>
      <w:r>
        <w:rPr>
          <w:rFonts w:hint="eastAsia" w:ascii="Times New Roman" w:hAnsi="Times New Roman" w:eastAsia="仿宋_GB2312"/>
          <w:color w:val="auto"/>
          <w:sz w:val="24"/>
          <w:szCs w:val="24"/>
          <w:highlight w:val="none"/>
        </w:rPr>
        <w:t>群体工程应附《</w:t>
      </w:r>
      <w:r>
        <w:rPr>
          <w:rFonts w:ascii="Times New Roman" w:hAnsi="Times New Roman" w:eastAsia="仿宋_GB2312"/>
          <w:color w:val="auto"/>
          <w:sz w:val="24"/>
          <w:szCs w:val="24"/>
          <w:highlight w:val="none"/>
        </w:rPr>
        <w:t>承包人承揽工程项目一览表</w:t>
      </w:r>
      <w:r>
        <w:rPr>
          <w:rFonts w:hint="eastAsia" w:ascii="Times New Roman" w:hAnsi="Times New Roman" w:eastAsia="仿宋_GB2312"/>
          <w:color w:val="auto"/>
          <w:sz w:val="24"/>
          <w:szCs w:val="24"/>
          <w:highlight w:val="none"/>
        </w:rPr>
        <w:t>》（附件1）。</w:t>
      </w:r>
    </w:p>
    <w:p>
      <w:pPr>
        <w:spacing w:line="360" w:lineRule="auto"/>
        <w:ind w:firstLine="470" w:firstLineChars="196"/>
        <w:rPr>
          <w:rFonts w:ascii="Times New Roman" w:hAnsi="Times New Roman" w:eastAsia="仿宋_GB2312"/>
          <w:bCs/>
          <w:color w:val="auto"/>
          <w:sz w:val="24"/>
          <w:szCs w:val="24"/>
          <w:highlight w:val="none"/>
        </w:rPr>
      </w:pPr>
      <w:r>
        <w:rPr>
          <w:rFonts w:hint="eastAsia" w:ascii="Times New Roman" w:hAnsi="Times New Roman" w:eastAsia="仿宋_GB2312"/>
          <w:bCs/>
          <w:color w:val="auto"/>
          <w:sz w:val="24"/>
          <w:szCs w:val="24"/>
          <w:highlight w:val="none"/>
        </w:rPr>
        <w:t>6</w:t>
      </w:r>
      <w:r>
        <w:rPr>
          <w:rFonts w:ascii="Times New Roman" w:hAnsi="Times New Roman" w:eastAsia="仿宋_GB2312"/>
          <w:bCs/>
          <w:color w:val="auto"/>
          <w:sz w:val="24"/>
          <w:szCs w:val="24"/>
          <w:highlight w:val="none"/>
        </w:rPr>
        <w:t>.工程承包范围：</w:t>
      </w:r>
    </w:p>
    <w:p>
      <w:pPr>
        <w:spacing w:line="360" w:lineRule="auto"/>
        <w:ind w:firstLine="463" w:firstLineChars="193"/>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0"/>
        <w:rPr>
          <w:rFonts w:ascii="Times New Roman" w:hAnsi="Times New Roman" w:eastAsia="黑体"/>
          <w:b w:val="0"/>
          <w:color w:val="auto"/>
          <w:sz w:val="24"/>
          <w:szCs w:val="24"/>
          <w:highlight w:val="none"/>
        </w:rPr>
      </w:pPr>
      <w:r>
        <w:rPr>
          <w:rFonts w:ascii="Times New Roman" w:hAnsi="Times New Roman" w:eastAsia="黑体"/>
          <w:b w:val="0"/>
          <w:color w:val="auto"/>
          <w:sz w:val="24"/>
          <w:szCs w:val="24"/>
          <w:highlight w:val="none"/>
        </w:rPr>
        <w:t xml:space="preserve"> </w:t>
      </w:r>
      <w:bookmarkStart w:id="279" w:name="_Toc351203482"/>
      <w:r>
        <w:rPr>
          <w:rFonts w:hint="eastAsia" w:ascii="Times New Roman" w:hAnsi="Times New Roman" w:eastAsia="黑体"/>
          <w:b w:val="0"/>
          <w:color w:val="auto"/>
          <w:sz w:val="24"/>
          <w:szCs w:val="24"/>
          <w:highlight w:val="none"/>
        </w:rPr>
        <w:t xml:space="preserve">   </w:t>
      </w:r>
      <w:r>
        <w:rPr>
          <w:color w:val="auto"/>
          <w:sz w:val="24"/>
          <w:szCs w:val="24"/>
          <w:highlight w:val="none"/>
        </w:rPr>
        <w:t>二、合同工期</w:t>
      </w:r>
      <w:bookmarkEnd w:id="279"/>
    </w:p>
    <w:p>
      <w:pPr>
        <w:spacing w:line="360" w:lineRule="auto"/>
        <w:ind w:firstLine="45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计划开工日期：</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年</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月</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日。</w:t>
      </w:r>
    </w:p>
    <w:p>
      <w:pPr>
        <w:spacing w:line="360" w:lineRule="auto"/>
        <w:ind w:firstLine="45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计划竣工日期：</w:t>
      </w:r>
      <w:r>
        <w:rPr>
          <w:rFonts w:ascii="Times New Roman" w:hAnsi="Times New Roman" w:eastAsia="仿宋_GB2312"/>
          <w:color w:val="auto"/>
          <w:sz w:val="24"/>
          <w:szCs w:val="24"/>
          <w:highlight w:val="none"/>
          <w:u w:val="single"/>
        </w:rPr>
        <w:t xml:space="preserve">  </w:t>
      </w:r>
      <w:r>
        <w:rPr>
          <w:rFonts w:hint="eastAsia"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年</w:t>
      </w:r>
      <w:r>
        <w:rPr>
          <w:rFonts w:ascii="Times New Roman" w:hAnsi="Times New Roman" w:eastAsia="仿宋_GB2312"/>
          <w:color w:val="auto"/>
          <w:sz w:val="24"/>
          <w:szCs w:val="24"/>
          <w:highlight w:val="none"/>
          <w:u w:val="single"/>
        </w:rPr>
        <w:t xml:space="preserve">  </w:t>
      </w:r>
      <w:r>
        <w:rPr>
          <w:rFonts w:hint="eastAsia"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月</w:t>
      </w:r>
      <w:r>
        <w:rPr>
          <w:rFonts w:ascii="Times New Roman" w:hAnsi="Times New Roman" w:eastAsia="仿宋_GB2312"/>
          <w:color w:val="auto"/>
          <w:sz w:val="24"/>
          <w:szCs w:val="24"/>
          <w:highlight w:val="none"/>
          <w:u w:val="single"/>
        </w:rPr>
        <w:t xml:space="preserve"> </w:t>
      </w:r>
      <w:r>
        <w:rPr>
          <w:rFonts w:hint="eastAsia"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日。</w:t>
      </w:r>
    </w:p>
    <w:p>
      <w:pPr>
        <w:spacing w:line="360" w:lineRule="auto"/>
        <w:ind w:firstLine="45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工期总日历天数：</w:t>
      </w:r>
      <w:r>
        <w:rPr>
          <w:rFonts w:ascii="Times New Roman" w:hAnsi="Times New Roman" w:eastAsia="仿宋_GB2312"/>
          <w:color w:val="auto"/>
          <w:sz w:val="24"/>
          <w:szCs w:val="24"/>
          <w:highlight w:val="none"/>
          <w:u w:val="single"/>
        </w:rPr>
        <w:t xml:space="preserve"> </w:t>
      </w:r>
      <w:r>
        <w:rPr>
          <w:rFonts w:hint="eastAsia"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天。工期总日历天数与根据前述计划开竣工日期计算的工期天数不一致的，以工期总日历天数为准。</w:t>
      </w:r>
    </w:p>
    <w:p>
      <w:pPr>
        <w:pStyle w:val="10"/>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r>
        <w:rPr>
          <w:color w:val="auto"/>
          <w:sz w:val="24"/>
          <w:szCs w:val="24"/>
          <w:highlight w:val="none"/>
        </w:rPr>
        <w:t xml:space="preserve"> </w:t>
      </w:r>
      <w:bookmarkStart w:id="280" w:name="_Toc351203483"/>
      <w:r>
        <w:rPr>
          <w:color w:val="auto"/>
          <w:sz w:val="24"/>
          <w:szCs w:val="24"/>
          <w:highlight w:val="none"/>
        </w:rPr>
        <w:t>三、质量标准</w:t>
      </w:r>
      <w:bookmarkEnd w:id="280"/>
    </w:p>
    <w:p>
      <w:pPr>
        <w:spacing w:line="360" w:lineRule="auto"/>
        <w:ind w:firstLine="459"/>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工程质量符合</w:t>
      </w:r>
      <w:r>
        <w:rPr>
          <w:rFonts w:ascii="Times New Roman" w:hAnsi="Times New Roman" w:eastAsia="仿宋_GB2312"/>
          <w:color w:val="auto"/>
          <w:sz w:val="24"/>
          <w:szCs w:val="24"/>
          <w:highlight w:val="none"/>
          <w:u w:val="single"/>
        </w:rPr>
        <w:t xml:space="preserve">  </w:t>
      </w:r>
      <w:r>
        <w:rPr>
          <w:rFonts w:hint="eastAsia" w:eastAsia="仿宋_GB2312"/>
          <w:color w:val="auto"/>
          <w:sz w:val="24"/>
          <w:szCs w:val="24"/>
          <w:highlight w:val="none"/>
          <w:u w:val="single"/>
          <w:lang w:eastAsia="zh-CN"/>
        </w:rPr>
        <w:t>合格</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标准。</w:t>
      </w:r>
    </w:p>
    <w:p>
      <w:pPr>
        <w:pStyle w:val="10"/>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r>
        <w:rPr>
          <w:rFonts w:ascii="Times New Roman" w:hAnsi="Times New Roman" w:eastAsia="黑体"/>
          <w:b w:val="0"/>
          <w:color w:val="auto"/>
          <w:sz w:val="24"/>
          <w:szCs w:val="24"/>
          <w:highlight w:val="none"/>
        </w:rPr>
        <w:t xml:space="preserve"> </w:t>
      </w:r>
      <w:bookmarkStart w:id="281" w:name="_Toc351203484"/>
      <w:r>
        <w:rPr>
          <w:color w:val="auto"/>
          <w:sz w:val="24"/>
          <w:szCs w:val="24"/>
          <w:highlight w:val="none"/>
        </w:rPr>
        <w:t>四、签约合同价与合同价格形式</w:t>
      </w:r>
      <w:bookmarkEnd w:id="281"/>
      <w:r>
        <w:rPr>
          <w:rFonts w:ascii="Times New Roman" w:hAnsi="Times New Roman" w:eastAsia="黑体"/>
          <w:b w:val="0"/>
          <w:color w:val="auto"/>
          <w:sz w:val="24"/>
          <w:szCs w:val="24"/>
          <w:highlight w:val="none"/>
        </w:rPr>
        <w:tab/>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1.签约合同价为：</w:t>
      </w:r>
    </w:p>
    <w:p>
      <w:pPr>
        <w:spacing w:line="360" w:lineRule="auto"/>
        <w:ind w:firstLine="600" w:firstLineChars="2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人民币（大写）</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元)；</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其中：</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（1）安全文明施工费：</w:t>
      </w:r>
    </w:p>
    <w:p>
      <w:pPr>
        <w:spacing w:line="360" w:lineRule="auto"/>
        <w:ind w:firstLine="1080" w:firstLineChars="4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人民币（大写）</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元)；</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（2）材料和工程设备暂估价金额：</w:t>
      </w:r>
    </w:p>
    <w:p>
      <w:pPr>
        <w:spacing w:line="360" w:lineRule="auto"/>
        <w:ind w:firstLine="1080" w:firstLineChars="4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人民币（大写）</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元)；</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（3）专业工程暂估价金额：</w:t>
      </w:r>
    </w:p>
    <w:p>
      <w:pPr>
        <w:spacing w:line="360" w:lineRule="auto"/>
        <w:ind w:firstLine="1080" w:firstLineChars="4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人民币（大写）</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元)；</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（4）暂列金额：</w:t>
      </w:r>
    </w:p>
    <w:p>
      <w:pPr>
        <w:spacing w:line="360" w:lineRule="auto"/>
        <w:ind w:firstLine="1080" w:firstLineChars="45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人民币（大写）</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元)。</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2.合同价格形式：</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0"/>
        <w:rPr>
          <w:rFonts w:ascii="Times New Roman" w:hAnsi="Times New Roman" w:eastAsia="黑体"/>
          <w:b w:val="0"/>
          <w:color w:val="auto"/>
          <w:sz w:val="24"/>
          <w:szCs w:val="24"/>
          <w:highlight w:val="none"/>
        </w:rPr>
      </w:pPr>
      <w:r>
        <w:rPr>
          <w:rFonts w:ascii="Times New Roman" w:hAnsi="Times New Roman" w:eastAsia="黑体"/>
          <w:bCs w:val="0"/>
          <w:color w:val="auto"/>
          <w:sz w:val="24"/>
          <w:szCs w:val="24"/>
          <w:highlight w:val="none"/>
        </w:rPr>
        <w:t xml:space="preserve">   </w:t>
      </w:r>
      <w:r>
        <w:rPr>
          <w:color w:val="auto"/>
          <w:sz w:val="24"/>
          <w:szCs w:val="24"/>
          <w:highlight w:val="none"/>
        </w:rPr>
        <w:t xml:space="preserve"> </w:t>
      </w:r>
      <w:bookmarkStart w:id="282" w:name="_Toc351203485"/>
      <w:r>
        <w:rPr>
          <w:color w:val="auto"/>
          <w:sz w:val="24"/>
          <w:szCs w:val="24"/>
          <w:highlight w:val="none"/>
        </w:rPr>
        <w:t>五、</w:t>
      </w:r>
      <w:bookmarkEnd w:id="282"/>
      <w:r>
        <w:rPr>
          <w:color w:val="auto"/>
          <w:sz w:val="24"/>
          <w:szCs w:val="24"/>
          <w:highlight w:val="none"/>
        </w:rPr>
        <w:t>项目经理</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承包人项目经理：</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0"/>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r>
        <w:rPr>
          <w:rFonts w:ascii="Times New Roman" w:hAnsi="Times New Roman" w:eastAsia="黑体"/>
          <w:b w:val="0"/>
          <w:color w:val="auto"/>
          <w:sz w:val="24"/>
          <w:szCs w:val="24"/>
          <w:highlight w:val="none"/>
        </w:rPr>
        <w:t xml:space="preserve"> </w:t>
      </w:r>
      <w:bookmarkStart w:id="283" w:name="_Toc351203486"/>
      <w:r>
        <w:rPr>
          <w:color w:val="auto"/>
          <w:sz w:val="24"/>
          <w:szCs w:val="24"/>
          <w:highlight w:val="none"/>
        </w:rPr>
        <w:t>六、合同文件构成</w:t>
      </w:r>
      <w:bookmarkEnd w:id="283"/>
    </w:p>
    <w:p>
      <w:pPr>
        <w:spacing w:line="360" w:lineRule="auto"/>
        <w:ind w:firstLine="480" w:firstLineChars="2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本协议书与下列文件一起构成合同文件：</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（1）中标通知书（如果有）；</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（2）投标函及其附录（如果有）； </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（3）专用合同条款及其附件；</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（4）通用合同条款；</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（5）技术标准和要求；</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（6）图纸；</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（7）已标价工程量清单或预算书；</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（8）其他合同文件。</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在合同订立及履行过程中形成的与合同有关的文件均构成合同文件组成部分。</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上述各项合同文件包括合同当事人就该项合同文件所作出的补充和修改，属于同一类内容的文件，应以最新签署的为准。</w:t>
      </w:r>
      <w:r>
        <w:rPr>
          <w:rFonts w:hint="eastAsia" w:ascii="Times New Roman" w:hAnsi="Times New Roman" w:eastAsia="仿宋_GB2312"/>
          <w:color w:val="auto"/>
          <w:sz w:val="24"/>
          <w:szCs w:val="24"/>
          <w:highlight w:val="none"/>
        </w:rPr>
        <w:t>专用合同条款及其附件须经合同当事人签字或盖章。</w:t>
      </w:r>
    </w:p>
    <w:p>
      <w:pPr>
        <w:pStyle w:val="10"/>
        <w:rPr>
          <w:rFonts w:ascii="Times New Roman" w:hAnsi="Times New Roman" w:eastAsia="黑体"/>
          <w:b w:val="0"/>
          <w:bCs w:val="0"/>
          <w:color w:val="auto"/>
          <w:sz w:val="24"/>
          <w:szCs w:val="24"/>
          <w:highlight w:val="none"/>
        </w:rPr>
      </w:pPr>
      <w:r>
        <w:rPr>
          <w:rFonts w:ascii="Times New Roman" w:hAnsi="Times New Roman" w:eastAsia="黑体"/>
          <w:b w:val="0"/>
          <w:bCs w:val="0"/>
          <w:color w:val="auto"/>
          <w:sz w:val="24"/>
          <w:szCs w:val="24"/>
          <w:highlight w:val="none"/>
        </w:rPr>
        <w:t xml:space="preserve">   </w:t>
      </w:r>
      <w:r>
        <w:rPr>
          <w:rFonts w:ascii="Times New Roman" w:hAnsi="Times New Roman" w:eastAsia="黑体"/>
          <w:b w:val="0"/>
          <w:color w:val="auto"/>
          <w:sz w:val="24"/>
          <w:szCs w:val="24"/>
          <w:highlight w:val="none"/>
        </w:rPr>
        <w:t xml:space="preserve"> </w:t>
      </w:r>
      <w:bookmarkStart w:id="284" w:name="_Toc351203487"/>
      <w:r>
        <w:rPr>
          <w:color w:val="auto"/>
          <w:sz w:val="24"/>
          <w:szCs w:val="24"/>
          <w:highlight w:val="none"/>
        </w:rPr>
        <w:t>七、承诺</w:t>
      </w:r>
      <w:bookmarkEnd w:id="284"/>
    </w:p>
    <w:p>
      <w:pPr>
        <w:spacing w:line="360" w:lineRule="auto"/>
        <w:ind w:firstLine="480" w:firstLineChars="2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1.发包人承诺按照法律规定履行项目审批手续、筹集工程建设资金并按照合同约定的期限和方式支付合同价款。</w:t>
      </w:r>
    </w:p>
    <w:p>
      <w:pPr>
        <w:spacing w:line="360" w:lineRule="auto"/>
        <w:ind w:firstLine="480" w:firstLineChars="2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pPr>
        <w:spacing w:line="360" w:lineRule="auto"/>
        <w:ind w:firstLine="480" w:firstLineChars="2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3.发包人和承包人通过招投标形式签订合同的，双方理解并</w:t>
      </w:r>
      <w:r>
        <w:rPr>
          <w:rFonts w:hint="eastAsia" w:ascii="Times New Roman" w:hAnsi="Times New Roman" w:eastAsia="仿宋_GB2312"/>
          <w:bCs/>
          <w:color w:val="auto"/>
          <w:sz w:val="24"/>
          <w:szCs w:val="24"/>
          <w:highlight w:val="none"/>
        </w:rPr>
        <w:t>承诺</w:t>
      </w:r>
      <w:r>
        <w:rPr>
          <w:rFonts w:ascii="Times New Roman" w:hAnsi="Times New Roman" w:eastAsia="仿宋_GB2312"/>
          <w:bCs/>
          <w:color w:val="auto"/>
          <w:sz w:val="24"/>
          <w:szCs w:val="24"/>
          <w:highlight w:val="none"/>
        </w:rPr>
        <w:t>不再就同一工程另行签订与合同实质性内容相背离的协议。</w:t>
      </w:r>
    </w:p>
    <w:p>
      <w:pPr>
        <w:pStyle w:val="10"/>
        <w:rPr>
          <w:rFonts w:ascii="Times New Roman" w:hAnsi="Times New Roman" w:eastAsia="黑体"/>
          <w:b w:val="0"/>
          <w:bCs w:val="0"/>
          <w:color w:val="auto"/>
          <w:sz w:val="24"/>
          <w:szCs w:val="24"/>
          <w:highlight w:val="none"/>
        </w:rPr>
      </w:pPr>
      <w:bookmarkStart w:id="285" w:name="_Toc351203488"/>
      <w:r>
        <w:rPr>
          <w:rFonts w:hint="eastAsia" w:ascii="Times New Roman" w:hAnsi="Times New Roman" w:eastAsia="黑体"/>
          <w:b w:val="0"/>
          <w:color w:val="auto"/>
          <w:sz w:val="24"/>
          <w:szCs w:val="24"/>
          <w:highlight w:val="none"/>
        </w:rPr>
        <w:t xml:space="preserve">    </w:t>
      </w:r>
      <w:r>
        <w:rPr>
          <w:color w:val="auto"/>
          <w:sz w:val="24"/>
          <w:szCs w:val="24"/>
          <w:highlight w:val="none"/>
        </w:rPr>
        <w:t>八、词语含义</w:t>
      </w:r>
      <w:bookmarkEnd w:id="285"/>
    </w:p>
    <w:p>
      <w:pPr>
        <w:spacing w:line="360" w:lineRule="auto"/>
        <w:ind w:firstLine="480" w:firstLineChars="2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本协议书中词语含义与第二部分通用合同条款中赋予的含义相同。</w:t>
      </w:r>
    </w:p>
    <w:p>
      <w:pPr>
        <w:pStyle w:val="10"/>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r>
        <w:rPr>
          <w:rFonts w:ascii="Times New Roman" w:hAnsi="Times New Roman" w:eastAsia="黑体"/>
          <w:b w:val="0"/>
          <w:color w:val="auto"/>
          <w:sz w:val="24"/>
          <w:szCs w:val="24"/>
          <w:highlight w:val="none"/>
        </w:rPr>
        <w:t xml:space="preserve"> </w:t>
      </w:r>
      <w:r>
        <w:rPr>
          <w:color w:val="auto"/>
          <w:sz w:val="24"/>
          <w:szCs w:val="24"/>
          <w:highlight w:val="none"/>
        </w:rPr>
        <w:t xml:space="preserve"> </w:t>
      </w:r>
      <w:bookmarkStart w:id="286" w:name="_Toc351203489"/>
      <w:r>
        <w:rPr>
          <w:color w:val="auto"/>
          <w:sz w:val="24"/>
          <w:szCs w:val="24"/>
          <w:highlight w:val="none"/>
        </w:rPr>
        <w:t>九、签订时间</w:t>
      </w:r>
      <w:bookmarkEnd w:id="286"/>
    </w:p>
    <w:p>
      <w:pPr>
        <w:spacing w:line="360" w:lineRule="auto"/>
        <w:ind w:firstLine="480" w:firstLineChars="2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本合同于</w:t>
      </w:r>
      <w:r>
        <w:rPr>
          <w:rFonts w:ascii="Times New Roman" w:hAnsi="Times New Roman" w:eastAsia="仿宋_GB2312"/>
          <w:bCs/>
          <w:color w:val="auto"/>
          <w:sz w:val="24"/>
          <w:szCs w:val="24"/>
          <w:highlight w:val="none"/>
          <w:u w:val="single"/>
        </w:rPr>
        <w:t xml:space="preserve">         </w:t>
      </w:r>
      <w:r>
        <w:rPr>
          <w:rFonts w:ascii="Times New Roman" w:hAnsi="Times New Roman" w:eastAsia="仿宋_GB2312"/>
          <w:bCs/>
          <w:color w:val="auto"/>
          <w:sz w:val="24"/>
          <w:szCs w:val="24"/>
          <w:highlight w:val="none"/>
        </w:rPr>
        <w:t>年</w:t>
      </w:r>
      <w:r>
        <w:rPr>
          <w:rFonts w:ascii="Times New Roman" w:hAnsi="Times New Roman" w:eastAsia="仿宋_GB2312"/>
          <w:bCs/>
          <w:color w:val="auto"/>
          <w:sz w:val="24"/>
          <w:szCs w:val="24"/>
          <w:highlight w:val="none"/>
          <w:u w:val="single"/>
        </w:rPr>
        <w:t xml:space="preserve">    </w:t>
      </w:r>
      <w:r>
        <w:rPr>
          <w:rFonts w:ascii="Times New Roman" w:hAnsi="Times New Roman" w:eastAsia="仿宋_GB2312"/>
          <w:bCs/>
          <w:color w:val="auto"/>
          <w:sz w:val="24"/>
          <w:szCs w:val="24"/>
          <w:highlight w:val="none"/>
        </w:rPr>
        <w:t>月</w:t>
      </w:r>
      <w:r>
        <w:rPr>
          <w:rFonts w:ascii="Times New Roman" w:hAnsi="Times New Roman" w:eastAsia="仿宋_GB2312"/>
          <w:bCs/>
          <w:color w:val="auto"/>
          <w:sz w:val="24"/>
          <w:szCs w:val="24"/>
          <w:highlight w:val="none"/>
          <w:u w:val="single"/>
        </w:rPr>
        <w:t xml:space="preserve">    </w:t>
      </w:r>
      <w:r>
        <w:rPr>
          <w:rFonts w:ascii="Times New Roman" w:hAnsi="Times New Roman" w:eastAsia="仿宋_GB2312"/>
          <w:bCs/>
          <w:color w:val="auto"/>
          <w:sz w:val="24"/>
          <w:szCs w:val="24"/>
          <w:highlight w:val="none"/>
        </w:rPr>
        <w:t>日签订。</w:t>
      </w:r>
    </w:p>
    <w:p>
      <w:pPr>
        <w:pStyle w:val="10"/>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r>
        <w:rPr>
          <w:color w:val="auto"/>
          <w:sz w:val="24"/>
          <w:szCs w:val="24"/>
          <w:highlight w:val="none"/>
        </w:rPr>
        <w:t xml:space="preserve"> </w:t>
      </w:r>
      <w:bookmarkStart w:id="287" w:name="_Toc351203490"/>
      <w:r>
        <w:rPr>
          <w:color w:val="auto"/>
          <w:sz w:val="24"/>
          <w:szCs w:val="24"/>
          <w:highlight w:val="none"/>
        </w:rPr>
        <w:t>十、签订地点</w:t>
      </w:r>
      <w:bookmarkEnd w:id="287"/>
    </w:p>
    <w:p>
      <w:pPr>
        <w:spacing w:line="360" w:lineRule="auto"/>
        <w:ind w:firstLine="480" w:firstLineChars="2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本合同在</w:t>
      </w:r>
      <w:r>
        <w:rPr>
          <w:rFonts w:ascii="Times New Roman" w:hAnsi="Times New Roman" w:eastAsia="仿宋_GB2312"/>
          <w:bCs/>
          <w:color w:val="auto"/>
          <w:sz w:val="24"/>
          <w:szCs w:val="24"/>
          <w:highlight w:val="none"/>
          <w:u w:val="single"/>
        </w:rPr>
        <w:t xml:space="preserve">                                    </w:t>
      </w:r>
      <w:r>
        <w:rPr>
          <w:rFonts w:ascii="Times New Roman" w:hAnsi="Times New Roman" w:eastAsia="仿宋_GB2312"/>
          <w:bCs/>
          <w:color w:val="auto"/>
          <w:sz w:val="24"/>
          <w:szCs w:val="24"/>
          <w:highlight w:val="none"/>
        </w:rPr>
        <w:t>签订。</w:t>
      </w:r>
    </w:p>
    <w:p>
      <w:pPr>
        <w:pStyle w:val="10"/>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bookmarkStart w:id="288" w:name="_Toc351203491"/>
      <w:r>
        <w:rPr>
          <w:color w:val="auto"/>
          <w:sz w:val="24"/>
          <w:szCs w:val="24"/>
          <w:highlight w:val="none"/>
        </w:rPr>
        <w:t>十一、补充协议</w:t>
      </w:r>
      <w:bookmarkEnd w:id="288"/>
    </w:p>
    <w:p>
      <w:pPr>
        <w:spacing w:line="360" w:lineRule="auto"/>
        <w:ind w:firstLine="480" w:firstLineChars="200"/>
        <w:rPr>
          <w:rFonts w:ascii="Times New Roman" w:hAnsi="Times New Roman" w:eastAsia="仿宋_GB2312"/>
          <w:b/>
          <w:bCs/>
          <w:color w:val="auto"/>
          <w:sz w:val="24"/>
          <w:szCs w:val="24"/>
          <w:highlight w:val="none"/>
        </w:rPr>
      </w:pPr>
      <w:r>
        <w:rPr>
          <w:rFonts w:ascii="Times New Roman" w:hAnsi="Times New Roman" w:eastAsia="仿宋_GB2312"/>
          <w:bCs/>
          <w:color w:val="auto"/>
          <w:sz w:val="24"/>
          <w:szCs w:val="24"/>
          <w:highlight w:val="none"/>
        </w:rPr>
        <w:t>合同未尽事宜，合同当事人另行签订补充协议</w:t>
      </w:r>
      <w:r>
        <w:rPr>
          <w:rFonts w:hint="eastAsia" w:ascii="Times New Roman" w:hAnsi="Times New Roman" w:eastAsia="仿宋_GB2312"/>
          <w:bCs/>
          <w:color w:val="auto"/>
          <w:sz w:val="24"/>
          <w:szCs w:val="24"/>
          <w:highlight w:val="none"/>
        </w:rPr>
        <w:t>，</w:t>
      </w:r>
      <w:r>
        <w:rPr>
          <w:rFonts w:ascii="Times New Roman" w:hAnsi="Times New Roman" w:eastAsia="仿宋_GB2312"/>
          <w:bCs/>
          <w:color w:val="auto"/>
          <w:sz w:val="24"/>
          <w:szCs w:val="24"/>
          <w:highlight w:val="none"/>
        </w:rPr>
        <w:t>补充协议是合同的组成部分。</w:t>
      </w:r>
    </w:p>
    <w:p>
      <w:pPr>
        <w:pStyle w:val="10"/>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bookmarkStart w:id="289" w:name="_Toc351203492"/>
      <w:r>
        <w:rPr>
          <w:color w:val="auto"/>
          <w:sz w:val="24"/>
          <w:szCs w:val="24"/>
          <w:highlight w:val="none"/>
        </w:rPr>
        <w:t>十二、合同生效</w:t>
      </w:r>
      <w:bookmarkEnd w:id="289"/>
    </w:p>
    <w:p>
      <w:pPr>
        <w:spacing w:line="360" w:lineRule="auto"/>
        <w:ind w:firstLine="480" w:firstLineChars="2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本合同自</w:t>
      </w:r>
      <w:r>
        <w:rPr>
          <w:rFonts w:ascii="Times New Roman" w:hAnsi="Times New Roman" w:eastAsia="仿宋_GB2312"/>
          <w:bCs/>
          <w:color w:val="auto"/>
          <w:sz w:val="24"/>
          <w:szCs w:val="24"/>
          <w:highlight w:val="none"/>
          <w:u w:val="single"/>
        </w:rPr>
        <w:t xml:space="preserve">                                   </w:t>
      </w:r>
      <w:r>
        <w:rPr>
          <w:rFonts w:ascii="Times New Roman" w:hAnsi="Times New Roman" w:eastAsia="仿宋_GB2312"/>
          <w:bCs/>
          <w:color w:val="auto"/>
          <w:sz w:val="24"/>
          <w:szCs w:val="24"/>
          <w:highlight w:val="none"/>
        </w:rPr>
        <w:t>生效。</w:t>
      </w:r>
    </w:p>
    <w:p>
      <w:pPr>
        <w:pStyle w:val="10"/>
        <w:rPr>
          <w:rFonts w:ascii="Times New Roman" w:hAnsi="Times New Roman" w:eastAsia="黑体"/>
          <w:bCs w:val="0"/>
          <w:color w:val="auto"/>
          <w:sz w:val="24"/>
          <w:szCs w:val="24"/>
          <w:highlight w:val="none"/>
        </w:rPr>
      </w:pPr>
      <w:r>
        <w:rPr>
          <w:rFonts w:ascii="Times New Roman" w:hAnsi="Times New Roman" w:eastAsia="黑体"/>
          <w:bCs w:val="0"/>
          <w:color w:val="auto"/>
          <w:sz w:val="24"/>
          <w:szCs w:val="24"/>
          <w:highlight w:val="none"/>
        </w:rPr>
        <w:t xml:space="preserve">    </w:t>
      </w:r>
      <w:bookmarkStart w:id="290" w:name="_Toc351203493"/>
      <w:r>
        <w:rPr>
          <w:color w:val="auto"/>
          <w:sz w:val="24"/>
          <w:szCs w:val="24"/>
          <w:highlight w:val="none"/>
        </w:rPr>
        <w:t>十三、合同份数</w:t>
      </w:r>
      <w:bookmarkEnd w:id="290"/>
    </w:p>
    <w:p>
      <w:pPr>
        <w:spacing w:line="360" w:lineRule="auto"/>
        <w:ind w:firstLine="480" w:firstLineChars="200"/>
        <w:rPr>
          <w:rFonts w:ascii="Times New Roman" w:hAnsi="Times New Roman" w:eastAsia="仿宋_GB2312"/>
          <w:bCs/>
          <w:color w:val="auto"/>
          <w:sz w:val="24"/>
          <w:szCs w:val="24"/>
          <w:highlight w:val="none"/>
        </w:rPr>
      </w:pPr>
      <w:r>
        <w:rPr>
          <w:rFonts w:ascii="Times New Roman" w:hAnsi="Times New Roman" w:eastAsia="仿宋_GB2312"/>
          <w:bCs/>
          <w:color w:val="auto"/>
          <w:sz w:val="24"/>
          <w:szCs w:val="24"/>
          <w:highlight w:val="none"/>
        </w:rPr>
        <w:t>本合同一式</w:t>
      </w:r>
      <w:r>
        <w:rPr>
          <w:rFonts w:ascii="Times New Roman" w:hAnsi="Times New Roman" w:eastAsia="仿宋_GB2312"/>
          <w:bCs/>
          <w:color w:val="auto"/>
          <w:sz w:val="24"/>
          <w:szCs w:val="24"/>
          <w:highlight w:val="none"/>
          <w:u w:val="single"/>
        </w:rPr>
        <w:t xml:space="preserve">  </w:t>
      </w:r>
      <w:r>
        <w:rPr>
          <w:rFonts w:hint="eastAsia" w:ascii="Times New Roman" w:hAnsi="Times New Roman" w:eastAsia="仿宋_GB2312"/>
          <w:bCs/>
          <w:color w:val="auto"/>
          <w:sz w:val="24"/>
          <w:szCs w:val="24"/>
          <w:highlight w:val="none"/>
          <w:u w:val="single"/>
        </w:rPr>
        <w:t xml:space="preserve"> </w:t>
      </w:r>
      <w:r>
        <w:rPr>
          <w:rFonts w:ascii="Times New Roman" w:hAnsi="Times New Roman" w:eastAsia="仿宋_GB2312"/>
          <w:bCs/>
          <w:color w:val="auto"/>
          <w:sz w:val="24"/>
          <w:szCs w:val="24"/>
          <w:highlight w:val="none"/>
          <w:u w:val="single"/>
        </w:rPr>
        <w:t xml:space="preserve"> </w:t>
      </w:r>
      <w:r>
        <w:rPr>
          <w:rFonts w:ascii="Times New Roman" w:hAnsi="Times New Roman" w:eastAsia="仿宋_GB2312"/>
          <w:bCs/>
          <w:color w:val="auto"/>
          <w:sz w:val="24"/>
          <w:szCs w:val="24"/>
          <w:highlight w:val="none"/>
        </w:rPr>
        <w:t>份，均具有同等法律效力，发包人执</w:t>
      </w:r>
      <w:r>
        <w:rPr>
          <w:rFonts w:ascii="Times New Roman" w:hAnsi="Times New Roman" w:eastAsia="仿宋_GB2312"/>
          <w:bCs/>
          <w:color w:val="auto"/>
          <w:sz w:val="24"/>
          <w:szCs w:val="24"/>
          <w:highlight w:val="none"/>
          <w:u w:val="single"/>
        </w:rPr>
        <w:t xml:space="preserve">  </w:t>
      </w:r>
      <w:r>
        <w:rPr>
          <w:rFonts w:hint="eastAsia" w:ascii="Times New Roman" w:hAnsi="Times New Roman" w:eastAsia="仿宋_GB2312"/>
          <w:bCs/>
          <w:color w:val="auto"/>
          <w:sz w:val="24"/>
          <w:szCs w:val="24"/>
          <w:highlight w:val="none"/>
          <w:u w:val="single"/>
        </w:rPr>
        <w:t xml:space="preserve"> </w:t>
      </w:r>
      <w:r>
        <w:rPr>
          <w:rFonts w:ascii="Times New Roman" w:hAnsi="Times New Roman" w:eastAsia="仿宋_GB2312"/>
          <w:bCs/>
          <w:color w:val="auto"/>
          <w:sz w:val="24"/>
          <w:szCs w:val="24"/>
          <w:highlight w:val="none"/>
          <w:u w:val="single"/>
        </w:rPr>
        <w:t xml:space="preserve"> </w:t>
      </w:r>
      <w:r>
        <w:rPr>
          <w:rFonts w:ascii="Times New Roman" w:hAnsi="Times New Roman" w:eastAsia="仿宋_GB2312"/>
          <w:bCs/>
          <w:color w:val="auto"/>
          <w:sz w:val="24"/>
          <w:szCs w:val="24"/>
          <w:highlight w:val="none"/>
        </w:rPr>
        <w:t>份，承包人执</w:t>
      </w:r>
      <w:r>
        <w:rPr>
          <w:rFonts w:ascii="Times New Roman" w:hAnsi="Times New Roman" w:eastAsia="仿宋_GB2312"/>
          <w:bCs/>
          <w:color w:val="auto"/>
          <w:sz w:val="24"/>
          <w:szCs w:val="24"/>
          <w:highlight w:val="none"/>
          <w:u w:val="single"/>
        </w:rPr>
        <w:t xml:space="preserve">  </w:t>
      </w:r>
      <w:r>
        <w:rPr>
          <w:rFonts w:hint="eastAsia" w:ascii="Times New Roman" w:hAnsi="Times New Roman" w:eastAsia="仿宋_GB2312"/>
          <w:bCs/>
          <w:color w:val="auto"/>
          <w:sz w:val="24"/>
          <w:szCs w:val="24"/>
          <w:highlight w:val="none"/>
          <w:u w:val="single"/>
        </w:rPr>
        <w:t xml:space="preserve"> </w:t>
      </w:r>
      <w:r>
        <w:rPr>
          <w:rFonts w:ascii="Times New Roman" w:hAnsi="Times New Roman" w:eastAsia="仿宋_GB2312"/>
          <w:bCs/>
          <w:color w:val="auto"/>
          <w:sz w:val="24"/>
          <w:szCs w:val="24"/>
          <w:highlight w:val="none"/>
          <w:u w:val="single"/>
        </w:rPr>
        <w:t xml:space="preserve"> </w:t>
      </w:r>
      <w:r>
        <w:rPr>
          <w:rFonts w:ascii="Times New Roman" w:hAnsi="Times New Roman" w:eastAsia="仿宋_GB2312"/>
          <w:bCs/>
          <w:color w:val="auto"/>
          <w:sz w:val="24"/>
          <w:szCs w:val="24"/>
          <w:highlight w:val="none"/>
        </w:rPr>
        <w:t>份。</w:t>
      </w:r>
    </w:p>
    <w:p>
      <w:pPr>
        <w:spacing w:line="360" w:lineRule="auto"/>
        <w:rPr>
          <w:rFonts w:hint="eastAsia" w:ascii="Times New Roman" w:hAnsi="Times New Roman" w:eastAsia="仿宋_GB2312"/>
          <w:bCs/>
          <w:color w:val="auto"/>
          <w:sz w:val="24"/>
          <w:szCs w:val="24"/>
          <w:highlight w:val="none"/>
        </w:rPr>
      </w:pPr>
    </w:p>
    <w:p>
      <w:pPr>
        <w:spacing w:line="360" w:lineRule="auto"/>
        <w:rPr>
          <w:rFonts w:hint="eastAsia" w:ascii="Times New Roman" w:hAnsi="Times New Roman" w:eastAsia="仿宋_GB2312"/>
          <w:bCs/>
          <w:color w:val="auto"/>
          <w:sz w:val="24"/>
          <w:szCs w:val="24"/>
          <w:highlight w:val="none"/>
        </w:rPr>
      </w:pPr>
    </w:p>
    <w:p>
      <w:pPr>
        <w:spacing w:line="360" w:lineRule="auto"/>
        <w:rPr>
          <w:rFonts w:hint="eastAsia" w:ascii="Times New Roman" w:hAnsi="Times New Roman" w:eastAsia="仿宋_GB2312"/>
          <w:bCs/>
          <w:color w:val="auto"/>
          <w:sz w:val="24"/>
          <w:szCs w:val="24"/>
          <w:highlight w:val="none"/>
        </w:rPr>
      </w:pPr>
    </w:p>
    <w:p>
      <w:pPr>
        <w:spacing w:line="360" w:lineRule="auto"/>
        <w:rPr>
          <w:rFonts w:hint="eastAsia" w:ascii="Times New Roman" w:hAnsi="Times New Roman" w:eastAsia="仿宋_GB2312"/>
          <w:color w:val="auto"/>
          <w:sz w:val="24"/>
          <w:szCs w:val="24"/>
          <w:highlight w:val="none"/>
        </w:rPr>
      </w:pPr>
    </w:p>
    <w:p>
      <w:pPr>
        <w:spacing w:line="360" w:lineRule="auto"/>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(公章)</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承包人</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(公章)</w:t>
      </w:r>
    </w:p>
    <w:p>
      <w:pPr>
        <w:spacing w:line="360" w:lineRule="auto"/>
        <w:rPr>
          <w:rFonts w:hint="eastAsia" w:ascii="Times New Roman" w:hAnsi="Times New Roman" w:eastAsia="仿宋_GB2312"/>
          <w:color w:val="auto"/>
          <w:sz w:val="24"/>
          <w:szCs w:val="24"/>
          <w:highlight w:val="none"/>
          <w:u w:val="single"/>
        </w:rPr>
      </w:pPr>
      <w:r>
        <w:rPr>
          <w:rFonts w:hint="eastAsia" w:ascii="Times New Roman" w:hAnsi="Times New Roman" w:eastAsia="仿宋_GB2312"/>
          <w:color w:val="auto"/>
          <w:sz w:val="24"/>
          <w:szCs w:val="24"/>
          <w:highlight w:val="none"/>
        </w:rPr>
        <w:t xml:space="preserve">                                 </w:t>
      </w:r>
    </w:p>
    <w:p>
      <w:pPr>
        <w:spacing w:line="360" w:lineRule="auto"/>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法定代表人或其委托代理人：  法定代表人或其委托代理人：</w:t>
      </w:r>
    </w:p>
    <w:p>
      <w:pPr>
        <w:spacing w:line="360" w:lineRule="auto"/>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（签字）                    （签字）</w:t>
      </w:r>
    </w:p>
    <w:p>
      <w:pPr>
        <w:spacing w:line="360" w:lineRule="auto"/>
        <w:rPr>
          <w:rFonts w:hint="eastAsia" w:ascii="Times New Roman" w:hAnsi="Times New Roman" w:eastAsia="仿宋_GB2312"/>
          <w:color w:val="auto"/>
          <w:sz w:val="24"/>
          <w:szCs w:val="24"/>
          <w:highlight w:val="none"/>
          <w:u w:val="single"/>
        </w:rPr>
      </w:pPr>
    </w:p>
    <w:p>
      <w:pPr>
        <w:tabs>
          <w:tab w:val="left" w:pos="4410"/>
        </w:tabs>
        <w:spacing w:line="360" w:lineRule="auto"/>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组织机构代码：</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t xml:space="preserve"> 组织机构代码：</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地  址：</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地  址：</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邮政编码：</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邮政编码：</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法定代表人：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法定代表人：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委托代理人：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委托代理人：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电  话：</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电  话：</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传  真：</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传  真：</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电子信箱：</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电子信箱：</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开户银行：</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开户银行：</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账  号：</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账</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 xml:space="preserve"> 号：</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p>
    <w:p>
      <w:pPr>
        <w:pStyle w:val="9"/>
        <w:numPr>
          <w:ilvl w:val="0"/>
          <w:numId w:val="14"/>
        </w:numPr>
        <w:jc w:val="center"/>
        <w:rPr>
          <w:color w:val="auto"/>
          <w:sz w:val="24"/>
          <w:szCs w:val="24"/>
          <w:highlight w:val="none"/>
        </w:rPr>
      </w:pPr>
      <w:r>
        <w:rPr>
          <w:rFonts w:eastAsia="仿宋_GB2312"/>
          <w:color w:val="auto"/>
          <w:sz w:val="24"/>
          <w:szCs w:val="24"/>
          <w:highlight w:val="none"/>
        </w:rPr>
        <w:br w:type="page"/>
      </w:r>
      <w:bookmarkStart w:id="291" w:name="_Toc351203494"/>
      <w:bookmarkStart w:id="292" w:name="_Toc507166972"/>
      <w:r>
        <w:rPr>
          <w:color w:val="auto"/>
          <w:sz w:val="24"/>
          <w:szCs w:val="24"/>
          <w:highlight w:val="none"/>
        </w:rPr>
        <w:t>通用合同条款</w:t>
      </w:r>
      <w:bookmarkEnd w:id="291"/>
      <w:bookmarkEnd w:id="292"/>
      <w:bookmarkStart w:id="293" w:name="_Toc337558727"/>
    </w:p>
    <w:p>
      <w:pPr>
        <w:numPr>
          <w:ilvl w:val="0"/>
          <w:numId w:val="0"/>
        </w:numPr>
        <w:rPr>
          <w:rFonts w:hint="eastAsia"/>
          <w:color w:val="auto"/>
          <w:sz w:val="24"/>
          <w:szCs w:val="24"/>
          <w:highlight w:val="none"/>
        </w:rPr>
      </w:pPr>
    </w:p>
    <w:bookmarkEnd w:id="293"/>
    <w:p>
      <w:pPr>
        <w:jc w:val="center"/>
        <w:rPr>
          <w:rFonts w:hint="eastAsia" w:ascii="宋体" w:hAnsi="宋体"/>
          <w:color w:val="auto"/>
          <w:sz w:val="24"/>
          <w:szCs w:val="24"/>
          <w:highlight w:val="none"/>
        </w:rPr>
      </w:pPr>
      <w:bookmarkStart w:id="294" w:name="_Toc351203632"/>
      <w:r>
        <w:rPr>
          <w:rFonts w:hint="eastAsia" w:ascii="宋体" w:hAnsi="宋体"/>
          <w:color w:val="auto"/>
          <w:sz w:val="24"/>
          <w:szCs w:val="24"/>
          <w:highlight w:val="none"/>
        </w:rPr>
        <w:t>（此部分内容略，具体内容详见《建设工程施工合同（示范文本）》（GF—2017—0201）第二部分内容。）</w:t>
      </w:r>
    </w:p>
    <w:p>
      <w:pPr>
        <w:pStyle w:val="9"/>
        <w:jc w:val="center"/>
        <w:rPr>
          <w:rFonts w:ascii="华文中宋" w:hAnsi="华文中宋" w:eastAsia="华文中宋"/>
          <w:color w:val="auto"/>
          <w:sz w:val="24"/>
          <w:szCs w:val="24"/>
          <w:highlight w:val="none"/>
        </w:rPr>
      </w:pPr>
      <w:r>
        <w:rPr>
          <w:rFonts w:ascii="华文中宋" w:hAnsi="华文中宋" w:eastAsia="华文中宋"/>
          <w:color w:val="auto"/>
          <w:sz w:val="24"/>
          <w:szCs w:val="24"/>
          <w:highlight w:val="none"/>
        </w:rPr>
        <w:br w:type="page"/>
      </w:r>
      <w:bookmarkStart w:id="295" w:name="_Toc507166973"/>
      <w:r>
        <w:rPr>
          <w:color w:val="auto"/>
          <w:sz w:val="24"/>
          <w:szCs w:val="24"/>
          <w:highlight w:val="none"/>
        </w:rPr>
        <w:t xml:space="preserve">第三部分 </w:t>
      </w:r>
      <w:r>
        <w:rPr>
          <w:rFonts w:hint="eastAsia"/>
          <w:color w:val="auto"/>
          <w:sz w:val="24"/>
          <w:szCs w:val="24"/>
          <w:highlight w:val="none"/>
        </w:rPr>
        <w:t>专用合同条款</w:t>
      </w:r>
      <w:bookmarkEnd w:id="294"/>
      <w:bookmarkEnd w:id="295"/>
    </w:p>
    <w:p>
      <w:pPr>
        <w:pStyle w:val="10"/>
        <w:rPr>
          <w:color w:val="auto"/>
          <w:sz w:val="24"/>
          <w:szCs w:val="24"/>
          <w:highlight w:val="none"/>
        </w:rPr>
      </w:pPr>
      <w:bookmarkStart w:id="296" w:name="_Toc351203633"/>
      <w:r>
        <w:rPr>
          <w:color w:val="auto"/>
          <w:sz w:val="24"/>
          <w:szCs w:val="24"/>
          <w:highlight w:val="none"/>
        </w:rPr>
        <w:t>1</w:t>
      </w:r>
      <w:bookmarkStart w:id="297" w:name="_Toc292559361"/>
      <w:bookmarkStart w:id="298" w:name="_Toc296347155"/>
      <w:bookmarkStart w:id="299" w:name="_Toc296346657"/>
      <w:bookmarkStart w:id="300" w:name="_Toc296503156"/>
      <w:bookmarkStart w:id="301" w:name="_Toc297120456"/>
      <w:bookmarkStart w:id="302" w:name="_Toc296891196"/>
      <w:bookmarkStart w:id="303" w:name="_Toc292559866"/>
      <w:bookmarkStart w:id="304" w:name="_Toc297048342"/>
      <w:bookmarkStart w:id="305" w:name="_Toc296944495"/>
      <w:bookmarkStart w:id="306" w:name="_Toc296890984"/>
      <w:r>
        <w:rPr>
          <w:color w:val="auto"/>
          <w:sz w:val="24"/>
          <w:szCs w:val="24"/>
          <w:highlight w:val="none"/>
        </w:rPr>
        <w:t>. 一般约定</w:t>
      </w:r>
      <w:bookmarkEnd w:id="296"/>
    </w:p>
    <w:bookmarkEnd w:id="297"/>
    <w:bookmarkEnd w:id="298"/>
    <w:bookmarkEnd w:id="299"/>
    <w:bookmarkEnd w:id="300"/>
    <w:bookmarkEnd w:id="301"/>
    <w:bookmarkEnd w:id="302"/>
    <w:bookmarkEnd w:id="303"/>
    <w:bookmarkEnd w:id="304"/>
    <w:bookmarkEnd w:id="305"/>
    <w:bookmarkEnd w:id="306"/>
    <w:p>
      <w:pPr>
        <w:pStyle w:val="11"/>
        <w:rPr>
          <w:color w:val="auto"/>
          <w:sz w:val="24"/>
          <w:szCs w:val="24"/>
          <w:highlight w:val="none"/>
        </w:rPr>
      </w:pPr>
      <w:r>
        <w:rPr>
          <w:color w:val="auto"/>
          <w:sz w:val="24"/>
          <w:szCs w:val="24"/>
          <w:highlight w:val="none"/>
        </w:rPr>
        <w:t>1.1 词语定义</w:t>
      </w:r>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1.1.1合同</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1.1.1.10其他合同文件包括：</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1.1.2 合同当事人及其他相关方</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1.1.2.4监理人：</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名    称：</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资质类别和等级：</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联系电话：</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电子信箱：</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通信地址：</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1.1.2.5 设计人：</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名    称：</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资质类别和等级：</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联系电话：</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电子信箱：</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通信地址：</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1.1.3 工程和设备</w:t>
      </w:r>
    </w:p>
    <w:p>
      <w:pPr>
        <w:spacing w:line="360" w:lineRule="auto"/>
        <w:ind w:firstLine="480" w:firstLineChars="200"/>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1.1.3.7 作为施工现场组成部分的其他场所包括：</w:t>
      </w:r>
      <w:r>
        <w:rPr>
          <w:rFonts w:hint="eastAsia"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1.1.3.9 永久占地包括：</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1.1.3.10 临时占地包括：</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kern w:val="0"/>
          <w:sz w:val="24"/>
          <w:szCs w:val="24"/>
          <w:highlight w:val="none"/>
        </w:rPr>
        <w:t>。</w:t>
      </w:r>
    </w:p>
    <w:p>
      <w:pPr>
        <w:pStyle w:val="11"/>
        <w:rPr>
          <w:color w:val="auto"/>
          <w:sz w:val="24"/>
          <w:szCs w:val="24"/>
          <w:highlight w:val="none"/>
        </w:rPr>
      </w:pPr>
      <w:r>
        <w:rPr>
          <w:color w:val="auto"/>
          <w:sz w:val="24"/>
          <w:szCs w:val="24"/>
          <w:highlight w:val="none"/>
        </w:rPr>
        <w:t xml:space="preserve">1.3法律 </w:t>
      </w:r>
    </w:p>
    <w:p>
      <w:pPr>
        <w:autoSpaceDE w:val="0"/>
        <w:autoSpaceDN w:val="0"/>
        <w:adjustRightInd w:val="0"/>
        <w:spacing w:line="360" w:lineRule="auto"/>
        <w:ind w:left="596" w:leftChars="284"/>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适用于合同的其他规范性文件：</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1.4 标准和规范</w:t>
      </w:r>
    </w:p>
    <w:p>
      <w:pPr>
        <w:spacing w:line="360" w:lineRule="auto"/>
        <w:ind w:left="596" w:leftChars="284"/>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1.4.1适用于工程的标准规范包括：</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left="596" w:leftChars="284"/>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1.4.2 发包人提供国外标准、规范的名称：        </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 xml:space="preserve">   </w:t>
      </w:r>
    </w:p>
    <w:p>
      <w:pPr>
        <w:spacing w:line="360" w:lineRule="auto"/>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发包人提供国外标准、规范的份数：</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发包人提供国外标准、规范的名称：</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left="596" w:leftChars="284"/>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1.4.3发包人对工程的技术标准和功能要求的特殊要求：</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1.5 合同文件的优先顺序</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合同文件组成及优先顺序为：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1.6 图纸和承包人文件</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1.6.1 图纸的提供</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发包人向承包人提供图纸的期限：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发包人向承包人提供图纸的数量：</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发包人向承包人提供图纸的内容：</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1.6.4 承包人文件</w:t>
      </w:r>
    </w:p>
    <w:p>
      <w:pPr>
        <w:spacing w:line="360" w:lineRule="auto"/>
        <w:ind w:left="596" w:leftChars="284"/>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需要由承包人提供的文件，包括：</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承包人提供的文件的期限为：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承包人提供的文件的数量为：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承包人提供的文件的形式为：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w:t>
      </w:r>
      <w:r>
        <w:rPr>
          <w:rFonts w:hint="eastAsia" w:ascii="Times New Roman" w:hAnsi="Times New Roman" w:eastAsia="仿宋_GB2312"/>
          <w:color w:val="auto"/>
          <w:sz w:val="24"/>
          <w:szCs w:val="24"/>
          <w:highlight w:val="none"/>
        </w:rPr>
        <w:t>审批</w:t>
      </w:r>
      <w:r>
        <w:rPr>
          <w:rFonts w:ascii="Times New Roman" w:hAnsi="Times New Roman" w:eastAsia="仿宋_GB2312"/>
          <w:color w:val="auto"/>
          <w:sz w:val="24"/>
          <w:szCs w:val="24"/>
          <w:highlight w:val="none"/>
        </w:rPr>
        <w:t>承包人文件的期限：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1.6.5 现场图纸准备</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关于现场图纸准备的约定：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1.7 联络</w:t>
      </w:r>
    </w:p>
    <w:p>
      <w:pPr>
        <w:spacing w:line="360" w:lineRule="auto"/>
        <w:ind w:firstLine="480" w:firstLineChars="200"/>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1.7.1发包人和承包人应当在</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kern w:val="0"/>
          <w:sz w:val="24"/>
          <w:szCs w:val="24"/>
          <w:highlight w:val="none"/>
        </w:rPr>
        <w:t>天内将与合同有关的通知、批准、证明、证书、指示、指令、要求、请求、同意、意见、确定和决定等书面函件送达对方当事人</w:t>
      </w:r>
      <w:r>
        <w:rPr>
          <w:rFonts w:hint="eastAsia" w:ascii="Times New Roman" w:hAnsi="Times New Roman" w:eastAsia="仿宋_GB2312"/>
          <w:color w:val="auto"/>
          <w:kern w:val="0"/>
          <w:sz w:val="24"/>
          <w:szCs w:val="24"/>
          <w:highlight w:val="none"/>
        </w:rPr>
        <w:t>。</w:t>
      </w:r>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1.7.2 发包人接收文件的地点：</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发包人指定的接收人为：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承包人接收文件的地点：</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承包人指定的接收人为：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监理人接收文件的地点：</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监理人指定的接收人为：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kern w:val="0"/>
          <w:sz w:val="24"/>
          <w:szCs w:val="24"/>
          <w:highlight w:val="none"/>
        </w:rPr>
        <w:t>。</w:t>
      </w:r>
    </w:p>
    <w:p>
      <w:pPr>
        <w:pStyle w:val="11"/>
        <w:rPr>
          <w:color w:val="auto"/>
          <w:sz w:val="24"/>
          <w:szCs w:val="24"/>
          <w:highlight w:val="none"/>
        </w:rPr>
      </w:pPr>
      <w:r>
        <w:rPr>
          <w:color w:val="auto"/>
          <w:sz w:val="24"/>
          <w:szCs w:val="24"/>
          <w:highlight w:val="none"/>
        </w:rPr>
        <w:t>1.10 交通运输</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w:t>
      </w:r>
      <w:bookmarkStart w:id="307" w:name="_Toc304295521"/>
      <w:bookmarkStart w:id="308" w:name="_Toc300934943"/>
      <w:bookmarkStart w:id="309" w:name="_Toc303539100"/>
      <w:bookmarkStart w:id="310" w:name="_Toc312677986"/>
      <w:bookmarkStart w:id="311" w:name="_Toc318581155"/>
      <w:r>
        <w:rPr>
          <w:rFonts w:ascii="Times New Roman" w:hAnsi="Times New Roman" w:eastAsia="仿宋_GB2312"/>
          <w:color w:val="auto"/>
          <w:sz w:val="24"/>
          <w:szCs w:val="24"/>
          <w:highlight w:val="none"/>
        </w:rPr>
        <w:t>.10.1 出入现场的权利</w:t>
      </w:r>
    </w:p>
    <w:p>
      <w:pPr>
        <w:spacing w:line="360" w:lineRule="auto"/>
        <w:ind w:left="596" w:leftChars="284"/>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关于出入现场的权利的约定：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307"/>
    <w:bookmarkEnd w:id="308"/>
    <w:bookmarkEnd w:id="309"/>
    <w:bookmarkEnd w:id="310"/>
    <w:bookmarkEnd w:id="311"/>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w:t>
      </w:r>
      <w:bookmarkStart w:id="312" w:name="_Toc304295522"/>
      <w:bookmarkStart w:id="313" w:name="_Toc300934944"/>
      <w:bookmarkStart w:id="314" w:name="_Toc303539101"/>
      <w:bookmarkStart w:id="315" w:name="_Toc312677987"/>
      <w:bookmarkStart w:id="316" w:name="_Toc318581156"/>
      <w:r>
        <w:rPr>
          <w:rFonts w:ascii="Times New Roman" w:hAnsi="Times New Roman" w:eastAsia="仿宋_GB2312"/>
          <w:color w:val="auto"/>
          <w:sz w:val="24"/>
          <w:szCs w:val="24"/>
          <w:highlight w:val="none"/>
        </w:rPr>
        <w:t>.10.3 场内交通</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关于场外交通和场内交通的边界的约定：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关于发包人向承包人免费提供满足工程施工需要的场内道路和交通设施的约定：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bookmarkEnd w:id="312"/>
      <w:bookmarkEnd w:id="313"/>
      <w:bookmarkEnd w:id="314"/>
      <w:bookmarkEnd w:id="315"/>
      <w:bookmarkEnd w:id="316"/>
      <w:r>
        <w:rPr>
          <w:rFonts w:ascii="Times New Roman" w:hAnsi="Times New Roman" w:eastAsia="仿宋_GB2312"/>
          <w:color w:val="auto"/>
          <w:sz w:val="24"/>
          <w:szCs w:val="24"/>
          <w:highlight w:val="none"/>
        </w:rPr>
        <w:t xml:space="preserve">  </w:t>
      </w:r>
      <w:bookmarkStart w:id="317" w:name="_Toc318581157"/>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1.10.4超大件和超重件的运输</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运输超大件或超重件所需的道路和桥梁临时加固改造费用和其他有关费用由</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承担。</w:t>
      </w:r>
    </w:p>
    <w:bookmarkEnd w:id="317"/>
    <w:p>
      <w:pPr>
        <w:pStyle w:val="11"/>
        <w:rPr>
          <w:color w:val="auto"/>
          <w:sz w:val="24"/>
          <w:szCs w:val="24"/>
          <w:highlight w:val="none"/>
        </w:rPr>
      </w:pPr>
      <w:r>
        <w:rPr>
          <w:color w:val="auto"/>
          <w:sz w:val="24"/>
          <w:szCs w:val="24"/>
          <w:highlight w:val="none"/>
        </w:rPr>
        <w:t>1.11 知识产权</w:t>
      </w:r>
    </w:p>
    <w:p>
      <w:pPr>
        <w:spacing w:line="360" w:lineRule="auto"/>
        <w:ind w:firstLine="480" w:firstLineChars="200"/>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left="596" w:leftChars="284"/>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关于发包人提供的上述文件的使用限制的要求：</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1.11.2 关于承包人为实施工程所编制文件的著作权的归属：</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关于承包人提供的上述文件的使用限制的要求：</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1.11.4 承包人在施工过程中所采用的专利、专有技术、技术秘密的使用费的承担方式：</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1.13工程量清单错误的修正</w:t>
      </w:r>
    </w:p>
    <w:p>
      <w:pPr>
        <w:spacing w:line="360" w:lineRule="auto"/>
        <w:ind w:firstLine="480" w:firstLineChars="20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出现工程量清单错误时，是否调整合同价格：</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允许调整合同价格的工程量偏差范围：</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kern w:val="0"/>
          <w:sz w:val="24"/>
          <w:szCs w:val="24"/>
          <w:highlight w:val="none"/>
        </w:rPr>
        <w:t>。</w:t>
      </w:r>
    </w:p>
    <w:p>
      <w:pPr>
        <w:pStyle w:val="10"/>
        <w:rPr>
          <w:color w:val="auto"/>
          <w:sz w:val="24"/>
          <w:szCs w:val="24"/>
          <w:highlight w:val="none"/>
        </w:rPr>
      </w:pPr>
      <w:bookmarkStart w:id="318" w:name="_Toc351203634"/>
      <w:r>
        <w:rPr>
          <w:color w:val="auto"/>
          <w:sz w:val="24"/>
          <w:szCs w:val="24"/>
          <w:highlight w:val="none"/>
        </w:rPr>
        <w:t>2</w:t>
      </w:r>
      <w:bookmarkStart w:id="319" w:name="_Toc297120457"/>
      <w:bookmarkStart w:id="320" w:name="_Toc296944496"/>
      <w:bookmarkStart w:id="321" w:name="_Toc292559362"/>
      <w:bookmarkStart w:id="322" w:name="_Toc296890985"/>
      <w:bookmarkStart w:id="323" w:name="_Toc292559867"/>
      <w:bookmarkStart w:id="324" w:name="_Toc296891197"/>
      <w:bookmarkStart w:id="325" w:name="_Toc296503157"/>
      <w:bookmarkStart w:id="326" w:name="_Toc297048343"/>
      <w:bookmarkStart w:id="327" w:name="_Toc296347156"/>
      <w:bookmarkStart w:id="328" w:name="_Toc296346658"/>
      <w:r>
        <w:rPr>
          <w:color w:val="auto"/>
          <w:sz w:val="24"/>
          <w:szCs w:val="24"/>
          <w:highlight w:val="none"/>
        </w:rPr>
        <w:t>. 发包人</w:t>
      </w:r>
      <w:bookmarkEnd w:id="318"/>
    </w:p>
    <w:bookmarkEnd w:id="319"/>
    <w:bookmarkEnd w:id="320"/>
    <w:bookmarkEnd w:id="321"/>
    <w:bookmarkEnd w:id="322"/>
    <w:bookmarkEnd w:id="323"/>
    <w:bookmarkEnd w:id="324"/>
    <w:bookmarkEnd w:id="325"/>
    <w:bookmarkEnd w:id="326"/>
    <w:bookmarkEnd w:id="327"/>
    <w:bookmarkEnd w:id="328"/>
    <w:p>
      <w:pPr>
        <w:pStyle w:val="11"/>
        <w:rPr>
          <w:color w:val="auto"/>
          <w:sz w:val="24"/>
          <w:szCs w:val="24"/>
          <w:highlight w:val="none"/>
        </w:rPr>
      </w:pPr>
      <w:r>
        <w:rPr>
          <w:color w:val="auto"/>
          <w:sz w:val="24"/>
          <w:szCs w:val="24"/>
          <w:highlight w:val="none"/>
        </w:rPr>
        <w:t>2.2 发包人代表</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发包人代表：</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姓    名：</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身份证号：</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职    务：</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联系电话：</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电子信箱：</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通信地址：</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发包人对发包人代表的授权范围如下：</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b/>
          <w:color w:val="auto"/>
          <w:sz w:val="24"/>
          <w:szCs w:val="24"/>
          <w:highlight w:val="none"/>
        </w:rPr>
      </w:pP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2.4 施工现场、施工条件和基础资料的提供</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2.4.1 提供施工现场</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关于发包人移交施工现场的期限要求：</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2.4.2 提供施工条件</w:t>
      </w:r>
    </w:p>
    <w:p>
      <w:pPr>
        <w:spacing w:line="360" w:lineRule="auto"/>
        <w:ind w:firstLine="480" w:firstLineChars="200"/>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关于发包人应负责提供施工</w:t>
      </w:r>
      <w:r>
        <w:rPr>
          <w:rFonts w:hint="eastAsia" w:ascii="Times New Roman" w:hAnsi="Times New Roman" w:eastAsia="仿宋_GB2312"/>
          <w:color w:val="auto"/>
          <w:sz w:val="24"/>
          <w:szCs w:val="24"/>
          <w:highlight w:val="none"/>
        </w:rPr>
        <w:t>所需要的条件，</w:t>
      </w:r>
      <w:r>
        <w:rPr>
          <w:rFonts w:ascii="Times New Roman" w:hAnsi="Times New Roman" w:eastAsia="仿宋_GB2312"/>
          <w:color w:val="auto"/>
          <w:sz w:val="24"/>
          <w:szCs w:val="24"/>
          <w:highlight w:val="none"/>
        </w:rPr>
        <w:t>包括：</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2.5 资金来源证明及支付担保</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发包人提供资金来源证明的期限要求：</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发包人是否提供支付担保：</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发包人提供支付担保的形式：</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0"/>
        <w:rPr>
          <w:color w:val="auto"/>
          <w:sz w:val="24"/>
          <w:szCs w:val="24"/>
          <w:highlight w:val="none"/>
        </w:rPr>
      </w:pPr>
      <w:bookmarkStart w:id="329" w:name="_Toc351203635"/>
      <w:r>
        <w:rPr>
          <w:color w:val="auto"/>
          <w:sz w:val="24"/>
          <w:szCs w:val="24"/>
          <w:highlight w:val="none"/>
        </w:rPr>
        <w:t>3</w:t>
      </w:r>
      <w:bookmarkStart w:id="330" w:name="_Toc296944497"/>
      <w:bookmarkStart w:id="331" w:name="_Toc296891198"/>
      <w:bookmarkStart w:id="332" w:name="_Toc292559363"/>
      <w:bookmarkStart w:id="333" w:name="_Toc297120458"/>
      <w:bookmarkStart w:id="334" w:name="_Toc296347157"/>
      <w:bookmarkStart w:id="335" w:name="_Toc296346659"/>
      <w:bookmarkStart w:id="336" w:name="_Toc297048344"/>
      <w:bookmarkStart w:id="337" w:name="_Toc292559868"/>
      <w:bookmarkStart w:id="338" w:name="_Toc296503158"/>
      <w:bookmarkStart w:id="339" w:name="_Toc296890986"/>
      <w:r>
        <w:rPr>
          <w:color w:val="auto"/>
          <w:sz w:val="24"/>
          <w:szCs w:val="24"/>
          <w:highlight w:val="none"/>
        </w:rPr>
        <w:t>. 承包人</w:t>
      </w:r>
      <w:bookmarkEnd w:id="329"/>
    </w:p>
    <w:bookmarkEnd w:id="330"/>
    <w:bookmarkEnd w:id="331"/>
    <w:bookmarkEnd w:id="332"/>
    <w:bookmarkEnd w:id="333"/>
    <w:bookmarkEnd w:id="334"/>
    <w:bookmarkEnd w:id="335"/>
    <w:bookmarkEnd w:id="336"/>
    <w:bookmarkEnd w:id="337"/>
    <w:bookmarkEnd w:id="338"/>
    <w:bookmarkEnd w:id="339"/>
    <w:p>
      <w:pPr>
        <w:pStyle w:val="11"/>
        <w:rPr>
          <w:color w:val="auto"/>
          <w:sz w:val="24"/>
          <w:szCs w:val="24"/>
          <w:highlight w:val="none"/>
        </w:rPr>
      </w:pPr>
      <w:r>
        <w:rPr>
          <w:color w:val="auto"/>
          <w:sz w:val="24"/>
          <w:szCs w:val="24"/>
          <w:highlight w:val="none"/>
        </w:rPr>
        <w:t>3.1 承包人的一般义务</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kern w:val="0"/>
          <w:sz w:val="24"/>
          <w:szCs w:val="24"/>
          <w:highlight w:val="none"/>
        </w:rPr>
        <w:t>（</w:t>
      </w:r>
      <w:r>
        <w:rPr>
          <w:rFonts w:hint="eastAsia" w:ascii="Times New Roman" w:hAnsi="Times New Roman" w:eastAsia="仿宋_GB2312"/>
          <w:color w:val="auto"/>
          <w:kern w:val="0"/>
          <w:sz w:val="24"/>
          <w:szCs w:val="24"/>
          <w:highlight w:val="none"/>
        </w:rPr>
        <w:t>9</w:t>
      </w:r>
      <w:r>
        <w:rPr>
          <w:rFonts w:ascii="Times New Roman" w:hAnsi="Times New Roman" w:eastAsia="仿宋_GB2312"/>
          <w:color w:val="auto"/>
          <w:kern w:val="0"/>
          <w:sz w:val="24"/>
          <w:szCs w:val="24"/>
          <w:highlight w:val="none"/>
        </w:rPr>
        <w:t>）</w:t>
      </w:r>
      <w:r>
        <w:rPr>
          <w:rFonts w:ascii="Times New Roman" w:hAnsi="Times New Roman" w:eastAsia="仿宋_GB2312"/>
          <w:color w:val="auto"/>
          <w:sz w:val="24"/>
          <w:szCs w:val="24"/>
          <w:highlight w:val="none"/>
        </w:rPr>
        <w:t>承包人提交的竣工资料的内容：</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承包人需要提交的竣工资料套数：</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left="638" w:leftChars="304"/>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承包人提交的竣工资料的费用承担：</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left="638" w:leftChars="304"/>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承包人提交的竣工资料移交时间：</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承包人提交的竣工资料形式要求：</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w:t>
      </w:r>
      <w:r>
        <w:rPr>
          <w:rFonts w:hint="eastAsia" w:ascii="Times New Roman" w:hAnsi="Times New Roman" w:eastAsia="仿宋_GB2312"/>
          <w:color w:val="auto"/>
          <w:kern w:val="0"/>
          <w:sz w:val="24"/>
          <w:szCs w:val="24"/>
          <w:highlight w:val="none"/>
        </w:rPr>
        <w:t>10</w:t>
      </w:r>
      <w:r>
        <w:rPr>
          <w:rFonts w:ascii="Times New Roman" w:hAnsi="Times New Roman" w:eastAsia="仿宋_GB2312"/>
          <w:color w:val="auto"/>
          <w:kern w:val="0"/>
          <w:sz w:val="24"/>
          <w:szCs w:val="24"/>
          <w:highlight w:val="none"/>
        </w:rPr>
        <w:t>）承包人应履行的其他义务：</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3.2 项目经理</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 xml:space="preserve">3.2.1 </w:t>
      </w:r>
      <w:r>
        <w:rPr>
          <w:rFonts w:ascii="Times New Roman" w:hAnsi="Times New Roman" w:eastAsia="仿宋_GB2312"/>
          <w:color w:val="auto"/>
          <w:sz w:val="24"/>
          <w:szCs w:val="24"/>
          <w:highlight w:val="none"/>
        </w:rPr>
        <w:t>项目经理：</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姓    名：</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身份证号：</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建造师执业资格等级：</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建造师注册证书号：</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建造师执业印章号：</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安全生产考核合格证书号：</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联系电话：</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电子信箱：</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通信地址：</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承包人对项目经理的授权范围如下：</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关于项目经理每月在施工现场的时间要求：</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承包人未提交劳动合同，以及没有为项目经理缴纳社会保险证明的违约责任：</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u w:val="single"/>
        </w:rPr>
      </w:pPr>
      <w:r>
        <w:rPr>
          <w:rFonts w:ascii="Times New Roman" w:hAnsi="Times New Roman" w:eastAsia="仿宋_GB2312"/>
          <w:color w:val="auto"/>
          <w:kern w:val="0"/>
          <w:sz w:val="24"/>
          <w:szCs w:val="24"/>
          <w:highlight w:val="none"/>
        </w:rPr>
        <w:t>项目经理未经批准，擅自离开施工现场的违约责任：</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3.2.3 承包人擅自更换项目经理的违约责任：</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w:t>
      </w:r>
      <w:r>
        <w:rPr>
          <w:rFonts w:ascii="Times New Roman" w:hAnsi="Times New Roman" w:eastAsia="仿宋_GB2312"/>
          <w:color w:val="auto"/>
          <w:kern w:val="0"/>
          <w:sz w:val="24"/>
          <w:szCs w:val="24"/>
          <w:highlight w:val="none"/>
        </w:rPr>
        <w:t>3.2.4 承包人无正当理由拒绝更换项目经理的违约责任：</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kern w:val="0"/>
          <w:sz w:val="24"/>
          <w:szCs w:val="24"/>
          <w:highlight w:val="none"/>
        </w:rPr>
        <w:t>。</w:t>
      </w:r>
    </w:p>
    <w:p>
      <w:pPr>
        <w:pStyle w:val="11"/>
        <w:rPr>
          <w:color w:val="auto"/>
          <w:sz w:val="24"/>
          <w:szCs w:val="24"/>
          <w:highlight w:val="none"/>
        </w:rPr>
      </w:pPr>
      <w:r>
        <w:rPr>
          <w:color w:val="auto"/>
          <w:sz w:val="24"/>
          <w:szCs w:val="24"/>
          <w:highlight w:val="none"/>
        </w:rPr>
        <w:t>3.3 承包人人员</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3.3.1 承包人提交项目管理机构及施工现场管理人员安排报告的期限：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3.3.3 承包人无正当理由拒绝撤换主要施工管理人员的违约责任：</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 xml:space="preserve">3.3.4 承包人主要施工管理人员离开施工现场的批准要求：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3.3.5承包人擅自更换主要施工管理人员的违约责任：</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承包人主要施工管理人员擅自离开施工现场的违约责任：</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3</w:t>
      </w:r>
      <w:bookmarkStart w:id="340" w:name="_Toc297048345"/>
      <w:bookmarkStart w:id="341" w:name="_Toc304295523"/>
      <w:bookmarkStart w:id="342" w:name="_Toc292559364"/>
      <w:bookmarkStart w:id="343" w:name="_Toc300934945"/>
      <w:bookmarkStart w:id="344" w:name="_Toc296503159"/>
      <w:bookmarkStart w:id="345" w:name="_Toc296347158"/>
      <w:bookmarkStart w:id="346" w:name="_Toc303539102"/>
      <w:bookmarkStart w:id="347" w:name="_Toc312677988"/>
      <w:bookmarkStart w:id="348" w:name="_Toc296890987"/>
      <w:bookmarkStart w:id="349" w:name="_Toc296891199"/>
      <w:bookmarkStart w:id="350" w:name="_Toc297216151"/>
      <w:bookmarkStart w:id="351" w:name="_Toc297120459"/>
      <w:bookmarkStart w:id="352" w:name="_Toc296346660"/>
      <w:bookmarkStart w:id="353" w:name="_Toc292559869"/>
      <w:bookmarkStart w:id="354" w:name="_Toc296944498"/>
      <w:bookmarkStart w:id="355" w:name="_Toc297123492"/>
      <w:r>
        <w:rPr>
          <w:color w:val="auto"/>
          <w:sz w:val="24"/>
          <w:szCs w:val="24"/>
          <w:highlight w:val="none"/>
        </w:rPr>
        <w:t>.5 分包</w:t>
      </w:r>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bookmarkStart w:id="356" w:name="_Toc297120460"/>
      <w:bookmarkStart w:id="357" w:name="_Toc304295524"/>
      <w:bookmarkStart w:id="358" w:name="_Toc297123493"/>
      <w:bookmarkStart w:id="359" w:name="_Toc296891200"/>
      <w:bookmarkStart w:id="360" w:name="_Toc292559870"/>
      <w:bookmarkStart w:id="361" w:name="_Toc300934946"/>
      <w:bookmarkStart w:id="362" w:name="_Toc296890988"/>
      <w:bookmarkStart w:id="363" w:name="_Toc296503160"/>
      <w:bookmarkStart w:id="364" w:name="_Toc296347159"/>
      <w:bookmarkStart w:id="365" w:name="_Toc296346661"/>
      <w:bookmarkStart w:id="366" w:name="_Toc296944499"/>
      <w:bookmarkStart w:id="367" w:name="_Toc292559365"/>
      <w:bookmarkStart w:id="368" w:name="_Toc303539103"/>
      <w:bookmarkStart w:id="369" w:name="_Toc297216152"/>
      <w:bookmarkStart w:id="370" w:name="_Toc297048346"/>
      <w:bookmarkStart w:id="371" w:name="_Toc318581158"/>
      <w:bookmarkStart w:id="372" w:name="_Toc312677989"/>
      <w:r>
        <w:rPr>
          <w:rFonts w:ascii="Times New Roman" w:hAnsi="Times New Roman" w:eastAsia="仿宋_GB2312"/>
          <w:color w:val="auto"/>
          <w:sz w:val="24"/>
          <w:szCs w:val="24"/>
          <w:highlight w:val="none"/>
        </w:rPr>
        <w:t>.5.1 分包的一般约定</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禁止分包的工程包括：</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主体结构、关键性工作的范围：</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Start w:id="373" w:name="_Toc304295525"/>
      <w:bookmarkStart w:id="374" w:name="_Toc296503161"/>
      <w:bookmarkStart w:id="375" w:name="_Toc300934947"/>
      <w:bookmarkStart w:id="376" w:name="_Toc297048347"/>
      <w:bookmarkStart w:id="377" w:name="_Toc296944500"/>
      <w:bookmarkStart w:id="378" w:name="_Toc296891201"/>
      <w:bookmarkStart w:id="379" w:name="_Toc303539104"/>
      <w:bookmarkStart w:id="380" w:name="_Toc296347160"/>
      <w:bookmarkStart w:id="381" w:name="_Toc297216153"/>
      <w:bookmarkStart w:id="382" w:name="_Toc297120461"/>
      <w:bookmarkStart w:id="383" w:name="_Toc296346662"/>
      <w:bookmarkStart w:id="384" w:name="_Toc296890989"/>
      <w:bookmarkStart w:id="385" w:name="_Toc297123494"/>
    </w:p>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3</w:t>
      </w:r>
      <w:bookmarkStart w:id="386" w:name="_Toc312677990"/>
      <w:bookmarkStart w:id="387" w:name="_Toc318581159"/>
      <w:r>
        <w:rPr>
          <w:rFonts w:ascii="Times New Roman" w:hAnsi="Times New Roman" w:eastAsia="仿宋_GB2312"/>
          <w:color w:val="auto"/>
          <w:sz w:val="24"/>
          <w:szCs w:val="24"/>
          <w:highlight w:val="none"/>
        </w:rPr>
        <w:t>.5.2分包的确定</w:t>
      </w:r>
    </w:p>
    <w:p>
      <w:pPr>
        <w:spacing w:line="360" w:lineRule="auto"/>
        <w:ind w:firstLine="480" w:firstLineChars="200"/>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允许分包的专业工程包括：</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其他关于分包的约定：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3.5.4 分包合同价款</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关于分包合同价款支付的约定：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386"/>
    <w:bookmarkEnd w:id="387"/>
    <w:p>
      <w:pPr>
        <w:pStyle w:val="11"/>
        <w:rPr>
          <w:color w:val="auto"/>
          <w:sz w:val="24"/>
          <w:szCs w:val="24"/>
          <w:highlight w:val="none"/>
        </w:rPr>
      </w:pPr>
      <w:r>
        <w:rPr>
          <w:color w:val="auto"/>
          <w:sz w:val="24"/>
          <w:szCs w:val="24"/>
          <w:highlight w:val="none"/>
        </w:rPr>
        <w:t>3.6 工程照管与成品、半成品保护</w:t>
      </w:r>
    </w:p>
    <w:p>
      <w:pPr>
        <w:spacing w:before="120" w:after="120" w:line="360" w:lineRule="auto"/>
        <w:ind w:firstLine="480" w:firstLineChars="200"/>
        <w:rPr>
          <w:rFonts w:ascii="Times New Roman" w:hAnsi="Times New Roman" w:eastAsia="仿宋_GB2312"/>
          <w:color w:val="auto"/>
          <w:kern w:val="0"/>
          <w:sz w:val="24"/>
          <w:szCs w:val="24"/>
          <w:highlight w:val="none"/>
          <w:u w:val="single"/>
        </w:rPr>
      </w:pPr>
      <w:r>
        <w:rPr>
          <w:rFonts w:ascii="Times New Roman" w:hAnsi="Times New Roman" w:eastAsia="仿宋_GB2312"/>
          <w:color w:val="auto"/>
          <w:kern w:val="0"/>
          <w:sz w:val="24"/>
          <w:szCs w:val="24"/>
          <w:highlight w:val="none"/>
        </w:rPr>
        <w:t>承包人负责照管工程及工程相关的材料、工程设备的起始时间：</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pStyle w:val="11"/>
        <w:rPr>
          <w:color w:val="auto"/>
          <w:sz w:val="24"/>
          <w:szCs w:val="24"/>
          <w:highlight w:val="none"/>
        </w:rPr>
      </w:pPr>
      <w:r>
        <w:rPr>
          <w:color w:val="auto"/>
          <w:sz w:val="24"/>
          <w:szCs w:val="24"/>
          <w:highlight w:val="none"/>
        </w:rPr>
        <w:t>3.7 履约担保</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承包人是否提供履约担保：</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承包人提供履约担保的形式</w:t>
      </w:r>
      <w:r>
        <w:rPr>
          <w:rFonts w:hint="eastAsia" w:ascii="Times New Roman" w:hAnsi="Times New Roman" w:eastAsia="仿宋_GB2312"/>
          <w:color w:val="auto"/>
          <w:sz w:val="24"/>
          <w:szCs w:val="24"/>
          <w:highlight w:val="none"/>
        </w:rPr>
        <w:t>、金额及期限的</w:t>
      </w:r>
      <w:r>
        <w:rPr>
          <w:rFonts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0"/>
        <w:rPr>
          <w:color w:val="auto"/>
          <w:sz w:val="24"/>
          <w:szCs w:val="24"/>
          <w:highlight w:val="none"/>
        </w:rPr>
      </w:pPr>
      <w:bookmarkStart w:id="388" w:name="_Toc351203636"/>
      <w:r>
        <w:rPr>
          <w:color w:val="auto"/>
          <w:sz w:val="24"/>
          <w:szCs w:val="24"/>
          <w:highlight w:val="none"/>
        </w:rPr>
        <w:t>4</w:t>
      </w:r>
      <w:bookmarkStart w:id="389" w:name="_Toc296891202"/>
      <w:bookmarkStart w:id="390" w:name="_Toc296944501"/>
      <w:bookmarkStart w:id="391" w:name="_Toc296890990"/>
      <w:bookmarkStart w:id="392" w:name="_Toc292559366"/>
      <w:bookmarkStart w:id="393" w:name="_Toc296346663"/>
      <w:bookmarkStart w:id="394" w:name="_Toc297048348"/>
      <w:bookmarkStart w:id="395" w:name="_Toc292559871"/>
      <w:bookmarkStart w:id="396" w:name="_Toc296347161"/>
      <w:bookmarkStart w:id="397" w:name="_Toc296503162"/>
      <w:bookmarkStart w:id="398" w:name="_Toc297120462"/>
      <w:bookmarkStart w:id="399" w:name="_Toc267251413"/>
      <w:r>
        <w:rPr>
          <w:color w:val="auto"/>
          <w:sz w:val="24"/>
          <w:szCs w:val="24"/>
          <w:highlight w:val="none"/>
        </w:rPr>
        <w:t>. 监</w:t>
      </w:r>
      <w:bookmarkEnd w:id="389"/>
      <w:bookmarkEnd w:id="390"/>
      <w:bookmarkEnd w:id="391"/>
      <w:bookmarkEnd w:id="392"/>
      <w:bookmarkEnd w:id="393"/>
      <w:bookmarkEnd w:id="394"/>
      <w:bookmarkEnd w:id="395"/>
      <w:bookmarkEnd w:id="396"/>
      <w:bookmarkEnd w:id="397"/>
      <w:bookmarkEnd w:id="398"/>
      <w:bookmarkEnd w:id="399"/>
      <w:r>
        <w:rPr>
          <w:color w:val="auto"/>
          <w:sz w:val="24"/>
          <w:szCs w:val="24"/>
          <w:highlight w:val="none"/>
        </w:rPr>
        <w:t>理人</w:t>
      </w:r>
      <w:bookmarkEnd w:id="388"/>
    </w:p>
    <w:p>
      <w:pPr>
        <w:pStyle w:val="11"/>
        <w:rPr>
          <w:color w:val="auto"/>
          <w:sz w:val="24"/>
          <w:szCs w:val="24"/>
          <w:highlight w:val="none"/>
        </w:rPr>
      </w:pPr>
      <w:r>
        <w:rPr>
          <w:color w:val="auto"/>
          <w:sz w:val="24"/>
          <w:szCs w:val="24"/>
          <w:highlight w:val="none"/>
        </w:rPr>
        <w:t>4.1监理人的一般规定</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关于监理人的监理内容：</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关于监理人的监理权限：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p>
    <w:p>
      <w:pPr>
        <w:spacing w:line="360" w:lineRule="auto"/>
        <w:ind w:firstLine="480" w:firstLineChars="200"/>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关于监理人在施工现场的办公场所、生活场所的提供和费用承担的约定：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p>
    <w:p>
      <w:pPr>
        <w:spacing w:line="360" w:lineRule="auto"/>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4.2 监理人员</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总监理工程师：</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姓    名：</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职    务：</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监理工程师执业资格证书号：</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联系电话：</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电子信箱：</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通信地址：</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关于监理人的其他约定：</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4.4 商定或确定</w:t>
      </w:r>
    </w:p>
    <w:p>
      <w:pPr>
        <w:spacing w:line="360" w:lineRule="auto"/>
        <w:ind w:firstLine="480" w:firstLineChars="200"/>
        <w:rPr>
          <w:rFonts w:ascii="Times New Roman" w:hAnsi="Times New Roman" w:eastAsia="仿宋_GB2312"/>
          <w:color w:val="auto"/>
          <w:sz w:val="24"/>
          <w:szCs w:val="24"/>
          <w:highlight w:val="none"/>
        </w:rPr>
      </w:pPr>
      <w:bookmarkStart w:id="400" w:name="_Toc267251418"/>
      <w:r>
        <w:rPr>
          <w:rFonts w:ascii="Times New Roman" w:hAnsi="Times New Roman" w:eastAsia="仿宋_GB2312"/>
          <w:color w:val="auto"/>
          <w:sz w:val="24"/>
          <w:szCs w:val="24"/>
          <w:highlight w:val="none"/>
        </w:rPr>
        <w:t>在发包人和承包人不能通过协商达成一致意见时，发包人授权监理人对以下事项进行确定：</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0"/>
        <w:rPr>
          <w:color w:val="auto"/>
          <w:sz w:val="24"/>
          <w:szCs w:val="24"/>
          <w:highlight w:val="none"/>
        </w:rPr>
      </w:pPr>
      <w:bookmarkStart w:id="401" w:name="_Toc351203637"/>
      <w:r>
        <w:rPr>
          <w:color w:val="auto"/>
          <w:sz w:val="24"/>
          <w:szCs w:val="24"/>
          <w:highlight w:val="none"/>
        </w:rPr>
        <w:t>5</w:t>
      </w:r>
      <w:bookmarkEnd w:id="400"/>
      <w:bookmarkStart w:id="402" w:name="_Toc297120463"/>
      <w:bookmarkStart w:id="403" w:name="_Toc297048349"/>
      <w:bookmarkStart w:id="404" w:name="_Toc296347162"/>
      <w:bookmarkStart w:id="405" w:name="_Toc296890991"/>
      <w:bookmarkStart w:id="406" w:name="_Toc296944502"/>
      <w:bookmarkStart w:id="407" w:name="_Toc296346664"/>
      <w:bookmarkStart w:id="408" w:name="_Toc292559367"/>
      <w:bookmarkStart w:id="409" w:name="_Toc292559872"/>
      <w:bookmarkStart w:id="410" w:name="_Toc296503163"/>
      <w:bookmarkStart w:id="411" w:name="_Toc296891203"/>
      <w:r>
        <w:rPr>
          <w:color w:val="auto"/>
          <w:sz w:val="24"/>
          <w:szCs w:val="24"/>
          <w:highlight w:val="none"/>
        </w:rPr>
        <w:t>. 工程质量</w:t>
      </w:r>
      <w:bookmarkEnd w:id="401"/>
    </w:p>
    <w:p>
      <w:pPr>
        <w:pStyle w:val="11"/>
        <w:rPr>
          <w:color w:val="auto"/>
          <w:sz w:val="24"/>
          <w:szCs w:val="24"/>
          <w:highlight w:val="none"/>
        </w:rPr>
      </w:pPr>
      <w:r>
        <w:rPr>
          <w:color w:val="auto"/>
          <w:sz w:val="24"/>
          <w:szCs w:val="24"/>
          <w:highlight w:val="none"/>
        </w:rPr>
        <w:t>5.1 质量要求</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5</w:t>
      </w:r>
      <w:bookmarkStart w:id="412" w:name="_Toc318581164"/>
      <w:bookmarkStart w:id="413" w:name="_Toc304295527"/>
      <w:bookmarkStart w:id="414" w:name="_Toc297123496"/>
      <w:bookmarkStart w:id="415" w:name="_Toc312677997"/>
      <w:bookmarkStart w:id="416" w:name="_Toc297216155"/>
      <w:bookmarkStart w:id="417" w:name="_Toc300934949"/>
      <w:bookmarkStart w:id="418" w:name="_Toc303539106"/>
      <w:r>
        <w:rPr>
          <w:rFonts w:ascii="Times New Roman" w:hAnsi="Times New Roman" w:eastAsia="仿宋_GB2312"/>
          <w:color w:val="auto"/>
          <w:sz w:val="24"/>
          <w:szCs w:val="24"/>
          <w:highlight w:val="none"/>
        </w:rPr>
        <w:t>.1.1 特殊质量标准和要求：</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关于工程奖项的约定：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hint="eastAsia" w:ascii="Times New Roman" w:hAnsi="Times New Roman" w:eastAsia="黑体"/>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5.3 隐蔽工程检查</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5.3.2承包人提前通知监理人隐蔽工程检查的期限的约定：</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监理人不能按时进行检查时，应提前</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小时提交书面延期要求。</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关于延期最长不得超过：</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小时。</w:t>
      </w:r>
    </w:p>
    <w:p>
      <w:pPr>
        <w:pStyle w:val="10"/>
        <w:rPr>
          <w:color w:val="auto"/>
          <w:sz w:val="24"/>
          <w:szCs w:val="24"/>
          <w:highlight w:val="none"/>
        </w:rPr>
      </w:pPr>
      <w:bookmarkStart w:id="419" w:name="_Toc351203638"/>
      <w:r>
        <w:rPr>
          <w:color w:val="auto"/>
          <w:sz w:val="24"/>
          <w:szCs w:val="24"/>
          <w:highlight w:val="none"/>
        </w:rPr>
        <w:t>6. 安全文明施工与环境保护</w:t>
      </w:r>
      <w:bookmarkEnd w:id="419"/>
    </w:p>
    <w:p>
      <w:pPr>
        <w:pStyle w:val="11"/>
        <w:rPr>
          <w:color w:val="auto"/>
          <w:sz w:val="24"/>
          <w:szCs w:val="24"/>
          <w:highlight w:val="none"/>
        </w:rPr>
      </w:pPr>
      <w:r>
        <w:rPr>
          <w:color w:val="auto"/>
          <w:sz w:val="24"/>
          <w:szCs w:val="24"/>
          <w:highlight w:val="none"/>
        </w:rPr>
        <w:t>6.1安全文明施工</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6.1.1 项目安全生产的达标目标及相应事项的约定：</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6.1.4 关于治安保卫的特别约定：</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u w:val="single"/>
          <w:lang w:eastAsia="zh-CN"/>
        </w:rPr>
      </w:pPr>
      <w:r>
        <w:rPr>
          <w:rFonts w:ascii="Times New Roman" w:hAnsi="Times New Roman" w:eastAsia="仿宋_GB2312"/>
          <w:color w:val="auto"/>
          <w:sz w:val="24"/>
          <w:szCs w:val="24"/>
          <w:highlight w:val="none"/>
        </w:rPr>
        <w:t>关于编制施工场地治安管理计划的约定：</w:t>
      </w:r>
      <w:r>
        <w:rPr>
          <w:rFonts w:ascii="Times New Roman" w:hAnsi="Times New Roman" w:eastAsia="仿宋_GB2312"/>
          <w:color w:val="auto"/>
          <w:sz w:val="24"/>
          <w:szCs w:val="24"/>
          <w:highlight w:val="none"/>
          <w:u w:val="single"/>
        </w:rPr>
        <w:t xml:space="preserve">                  </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6.1.5 文明施工</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hint="eastAsia" w:ascii="Times New Roman" w:hAnsi="Times New Roman" w:eastAsia="仿宋_GB2312"/>
          <w:color w:val="auto"/>
          <w:sz w:val="24"/>
          <w:szCs w:val="24"/>
          <w:highlight w:val="none"/>
        </w:rPr>
        <w:t>合同当事人对文明施工的要求：</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6.1.6 关于安全文明施工费支付比例和支付期限的约定：</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412"/>
    <w:bookmarkEnd w:id="413"/>
    <w:bookmarkEnd w:id="414"/>
    <w:bookmarkEnd w:id="415"/>
    <w:bookmarkEnd w:id="416"/>
    <w:bookmarkEnd w:id="417"/>
    <w:bookmarkEnd w:id="418"/>
    <w:p>
      <w:pPr>
        <w:pStyle w:val="10"/>
        <w:rPr>
          <w:color w:val="auto"/>
          <w:sz w:val="24"/>
          <w:szCs w:val="24"/>
          <w:highlight w:val="none"/>
        </w:rPr>
      </w:pPr>
      <w:bookmarkStart w:id="420" w:name="_Toc351203639"/>
      <w:r>
        <w:rPr>
          <w:color w:val="auto"/>
          <w:sz w:val="24"/>
          <w:szCs w:val="24"/>
          <w:highlight w:val="none"/>
        </w:rPr>
        <w:t>7. 工期和进度</w:t>
      </w:r>
      <w:bookmarkEnd w:id="420"/>
    </w:p>
    <w:p>
      <w:pPr>
        <w:pStyle w:val="11"/>
        <w:rPr>
          <w:color w:val="auto"/>
          <w:sz w:val="24"/>
          <w:szCs w:val="24"/>
          <w:highlight w:val="none"/>
        </w:rPr>
      </w:pPr>
      <w:r>
        <w:rPr>
          <w:color w:val="auto"/>
          <w:sz w:val="24"/>
          <w:szCs w:val="24"/>
          <w:highlight w:val="none"/>
        </w:rPr>
        <w:t>7.1 施工组织设计</w:t>
      </w:r>
    </w:p>
    <w:p>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7.1.</w:t>
      </w:r>
      <w:r>
        <w:rPr>
          <w:rFonts w:hint="eastAsia" w:ascii="Times New Roman" w:hAnsi="Times New Roman" w:eastAsia="仿宋_GB2312"/>
          <w:color w:val="auto"/>
          <w:sz w:val="24"/>
          <w:szCs w:val="24"/>
          <w:highlight w:val="none"/>
        </w:rPr>
        <w:t>1 合</w:t>
      </w:r>
      <w:r>
        <w:rPr>
          <w:rFonts w:hint="eastAsia" w:ascii="Times New Roman" w:hAnsi="Times New Roman" w:eastAsia="仿宋_GB2312"/>
          <w:color w:val="auto"/>
          <w:kern w:val="0"/>
          <w:sz w:val="24"/>
          <w:szCs w:val="24"/>
          <w:highlight w:val="none"/>
        </w:rPr>
        <w:t>同当事人约定的</w:t>
      </w:r>
      <w:r>
        <w:rPr>
          <w:rFonts w:ascii="Times New Roman" w:hAnsi="Times New Roman" w:eastAsia="仿宋_GB2312"/>
          <w:color w:val="auto"/>
          <w:kern w:val="0"/>
          <w:sz w:val="24"/>
          <w:szCs w:val="24"/>
          <w:highlight w:val="none"/>
        </w:rPr>
        <w:t>施工组织设计</w:t>
      </w:r>
      <w:r>
        <w:rPr>
          <w:rFonts w:hint="eastAsia" w:ascii="Times New Roman" w:hAnsi="Times New Roman" w:eastAsia="仿宋_GB2312"/>
          <w:color w:val="auto"/>
          <w:kern w:val="0"/>
          <w:sz w:val="24"/>
          <w:szCs w:val="24"/>
          <w:highlight w:val="none"/>
        </w:rPr>
        <w:t>应包括的其他内容</w:t>
      </w:r>
      <w:r>
        <w:rPr>
          <w:rFonts w:ascii="Times New Roman" w:hAnsi="Times New Roman" w:eastAsia="仿宋_GB2312"/>
          <w:color w:val="auto"/>
          <w:kern w:val="0"/>
          <w:sz w:val="24"/>
          <w:szCs w:val="24"/>
          <w:highlight w:val="none"/>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p>
    <w:p>
      <w:pPr>
        <w:autoSpaceDE w:val="0"/>
        <w:autoSpaceDN w:val="0"/>
        <w:adjustRightInd w:val="0"/>
        <w:spacing w:line="360" w:lineRule="auto"/>
        <w:jc w:val="left"/>
        <w:rPr>
          <w:rFonts w:ascii="Times New Roman" w:hAnsi="Times New Roman" w:eastAsia="仿宋_GB2312"/>
          <w:color w:val="auto"/>
          <w:kern w:val="0"/>
          <w:sz w:val="24"/>
          <w:szCs w:val="24"/>
          <w:highlight w:val="none"/>
        </w:rPr>
      </w:pP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 xml:space="preserve">7.1.2 </w:t>
      </w:r>
      <w:r>
        <w:rPr>
          <w:rFonts w:ascii="Times New Roman" w:hAnsi="Times New Roman" w:eastAsia="仿宋_GB2312"/>
          <w:color w:val="auto"/>
          <w:kern w:val="0"/>
          <w:sz w:val="24"/>
          <w:szCs w:val="24"/>
          <w:highlight w:val="none"/>
        </w:rPr>
        <w:t>施工组织设计的提交和修改</w:t>
      </w:r>
    </w:p>
    <w:p>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kern w:val="0"/>
          <w:sz w:val="24"/>
          <w:szCs w:val="24"/>
          <w:highlight w:val="none"/>
        </w:rPr>
        <w:t>承包人提交详细施工组织设计的期限的约定：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p>
    <w:p>
      <w:pPr>
        <w:autoSpaceDE w:val="0"/>
        <w:autoSpaceDN w:val="0"/>
        <w:adjustRightInd w:val="0"/>
        <w:spacing w:line="360" w:lineRule="auto"/>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发包人和监理人在收到</w:t>
      </w:r>
      <w:r>
        <w:rPr>
          <w:rFonts w:hint="eastAsia" w:ascii="Times New Roman" w:hAnsi="Times New Roman" w:eastAsia="仿宋_GB2312"/>
          <w:color w:val="auto"/>
          <w:sz w:val="24"/>
          <w:szCs w:val="24"/>
          <w:highlight w:val="none"/>
        </w:rPr>
        <w:t>详细的施工组织设计</w:t>
      </w:r>
      <w:r>
        <w:rPr>
          <w:rFonts w:ascii="Times New Roman" w:hAnsi="Times New Roman" w:eastAsia="仿宋_GB2312"/>
          <w:color w:val="auto"/>
          <w:sz w:val="24"/>
          <w:szCs w:val="24"/>
          <w:highlight w:val="none"/>
        </w:rPr>
        <w:t>后确认或提出修改意见的期限：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7</w:t>
      </w:r>
      <w:bookmarkStart w:id="421" w:name="_Toc303539123"/>
      <w:bookmarkStart w:id="422" w:name="_Toc312678005"/>
      <w:bookmarkStart w:id="423" w:name="_Toc304295541"/>
      <w:bookmarkStart w:id="424" w:name="_Toc297216173"/>
      <w:bookmarkStart w:id="425" w:name="_Toc300934966"/>
      <w:bookmarkStart w:id="426" w:name="_Toc297123514"/>
      <w:bookmarkStart w:id="427" w:name="_Toc312677479"/>
      <w:r>
        <w:rPr>
          <w:color w:val="auto"/>
          <w:sz w:val="24"/>
          <w:szCs w:val="24"/>
          <w:highlight w:val="none"/>
        </w:rPr>
        <w:t>.2 施工进度计划</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7.2.2 施工进度计划的修订</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发包人和监理人在收到修订的施工进度计划后确认或提出修改意见的期限：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7.3 开工</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7.3.1 开工准备</w:t>
      </w:r>
    </w:p>
    <w:p>
      <w:pPr>
        <w:spacing w:line="360" w:lineRule="auto"/>
        <w:ind w:firstLine="645"/>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关于承包人提交</w:t>
      </w:r>
      <w:r>
        <w:rPr>
          <w:rFonts w:ascii="Times New Roman" w:hAnsi="Times New Roman" w:eastAsia="仿宋_GB2312"/>
          <w:color w:val="auto"/>
          <w:kern w:val="0"/>
          <w:sz w:val="24"/>
          <w:szCs w:val="24"/>
          <w:highlight w:val="none"/>
        </w:rPr>
        <w:t>工程开工报审表的期限：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645"/>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关于发包人应完成的其他开工准备工作及期限：</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关于承包人应完成的其他开工准备工作及期限：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7.3.2开工通知</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因发包人原因造成监理人未能在计划开工日期之日起</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天内发出开工通知的，承包人有权提出价格调整要求，或者解除合同。</w:t>
      </w:r>
    </w:p>
    <w:bookmarkEnd w:id="421"/>
    <w:bookmarkEnd w:id="422"/>
    <w:bookmarkEnd w:id="423"/>
    <w:bookmarkEnd w:id="424"/>
    <w:bookmarkEnd w:id="425"/>
    <w:bookmarkEnd w:id="426"/>
    <w:bookmarkEnd w:id="427"/>
    <w:p>
      <w:pPr>
        <w:pStyle w:val="11"/>
        <w:rPr>
          <w:color w:val="auto"/>
          <w:sz w:val="24"/>
          <w:szCs w:val="24"/>
          <w:highlight w:val="none"/>
        </w:rPr>
      </w:pPr>
      <w:r>
        <w:rPr>
          <w:color w:val="auto"/>
          <w:sz w:val="24"/>
          <w:szCs w:val="24"/>
          <w:highlight w:val="none"/>
        </w:rPr>
        <w:t>7.4 测量放线</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7.4.1发包人通过监理人向承包人提供测量基准点、基准线和水准点及其书面资料的期限：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7</w:t>
      </w:r>
      <w:bookmarkStart w:id="428" w:name="_Toc312678010"/>
      <w:bookmarkStart w:id="429" w:name="_Toc303539125"/>
      <w:bookmarkStart w:id="430" w:name="_Toc297216175"/>
      <w:bookmarkStart w:id="431" w:name="_Toc312677484"/>
      <w:bookmarkStart w:id="432" w:name="_Toc300934968"/>
      <w:bookmarkStart w:id="433" w:name="_Toc304295546"/>
      <w:bookmarkStart w:id="434" w:name="_Toc297123516"/>
      <w:r>
        <w:rPr>
          <w:color w:val="auto"/>
          <w:sz w:val="24"/>
          <w:szCs w:val="24"/>
          <w:highlight w:val="none"/>
        </w:rPr>
        <w:t>.5 工期延误</w:t>
      </w:r>
    </w:p>
    <w:bookmarkEnd w:id="428"/>
    <w:bookmarkEnd w:id="429"/>
    <w:bookmarkEnd w:id="430"/>
    <w:bookmarkEnd w:id="431"/>
    <w:bookmarkEnd w:id="432"/>
    <w:bookmarkEnd w:id="433"/>
    <w:bookmarkEnd w:id="434"/>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7.5.1 因发包人原因导致工期延误</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（7）因发包人原因导致工期延误的其他情形：</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w:t>
      </w:r>
      <w:bookmarkStart w:id="435" w:name="_Toc312677486"/>
      <w:bookmarkStart w:id="436" w:name="_Toc312678012"/>
      <w:bookmarkStart w:id="437" w:name="_Toc318581169"/>
      <w:bookmarkStart w:id="438" w:name="_Toc297123518"/>
      <w:bookmarkStart w:id="439" w:name="_Toc303539127"/>
      <w:bookmarkStart w:id="440" w:name="_Toc304295548"/>
      <w:bookmarkStart w:id="441" w:name="_Toc300934970"/>
      <w:bookmarkStart w:id="442" w:name="_Toc297216177"/>
      <w:r>
        <w:rPr>
          <w:rFonts w:ascii="Times New Roman" w:hAnsi="Times New Roman" w:eastAsia="仿宋_GB2312"/>
          <w:color w:val="auto"/>
          <w:sz w:val="24"/>
          <w:szCs w:val="24"/>
          <w:highlight w:val="none"/>
        </w:rPr>
        <w:t>.5.2 因承包人原因导致工期延误</w:t>
      </w:r>
    </w:p>
    <w:bookmarkEnd w:id="435"/>
    <w:bookmarkEnd w:id="436"/>
    <w:bookmarkEnd w:id="437"/>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因</w:t>
      </w:r>
      <w:bookmarkStart w:id="443" w:name="_Toc312677487"/>
      <w:bookmarkStart w:id="444" w:name="_Toc312678013"/>
      <w:bookmarkStart w:id="445" w:name="_Toc318581170"/>
      <w:r>
        <w:rPr>
          <w:rFonts w:ascii="Times New Roman" w:hAnsi="Times New Roman" w:eastAsia="仿宋_GB2312"/>
          <w:color w:val="auto"/>
          <w:sz w:val="24"/>
          <w:szCs w:val="24"/>
          <w:highlight w:val="none"/>
        </w:rPr>
        <w:t>承包人原因造成工期延误，逾期竣工违约金的计算方法为：</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bookmarkEnd w:id="438"/>
      <w:bookmarkEnd w:id="439"/>
      <w:bookmarkEnd w:id="440"/>
      <w:bookmarkEnd w:id="441"/>
      <w:bookmarkEnd w:id="442"/>
      <w:bookmarkEnd w:id="443"/>
      <w:bookmarkEnd w:id="444"/>
    </w:p>
    <w:bookmarkEnd w:id="445"/>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因承包人原因造成工期延误，逾</w:t>
      </w:r>
      <w:bookmarkStart w:id="446" w:name="_Toc318581171"/>
      <w:bookmarkStart w:id="447" w:name="_Toc312678014"/>
      <w:r>
        <w:rPr>
          <w:rFonts w:ascii="Times New Roman" w:hAnsi="Times New Roman" w:eastAsia="仿宋_GB2312"/>
          <w:color w:val="auto"/>
          <w:sz w:val="24"/>
          <w:szCs w:val="24"/>
          <w:highlight w:val="none"/>
        </w:rPr>
        <w:t>期竣工违约金的上限：</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446"/>
    <w:bookmarkEnd w:id="447"/>
    <w:p>
      <w:pPr>
        <w:pStyle w:val="11"/>
        <w:rPr>
          <w:color w:val="auto"/>
          <w:sz w:val="24"/>
          <w:szCs w:val="24"/>
          <w:highlight w:val="none"/>
        </w:rPr>
      </w:pPr>
      <w:r>
        <w:rPr>
          <w:color w:val="auto"/>
          <w:sz w:val="24"/>
          <w:szCs w:val="24"/>
          <w:highlight w:val="none"/>
        </w:rPr>
        <w:t>7</w:t>
      </w:r>
      <w:bookmarkStart w:id="448" w:name="_Toc300934971"/>
      <w:bookmarkStart w:id="449" w:name="_Toc312678015"/>
      <w:bookmarkStart w:id="450" w:name="_Toc303539128"/>
      <w:bookmarkStart w:id="451" w:name="_Toc304295549"/>
      <w:bookmarkStart w:id="452" w:name="_Toc297123519"/>
      <w:bookmarkStart w:id="453" w:name="_Toc297216178"/>
      <w:r>
        <w:rPr>
          <w:color w:val="auto"/>
          <w:sz w:val="24"/>
          <w:szCs w:val="24"/>
          <w:highlight w:val="none"/>
        </w:rPr>
        <w:t>.6 不</w:t>
      </w:r>
      <w:bookmarkEnd w:id="448"/>
      <w:bookmarkEnd w:id="449"/>
      <w:bookmarkEnd w:id="450"/>
      <w:bookmarkEnd w:id="451"/>
      <w:bookmarkEnd w:id="452"/>
      <w:bookmarkEnd w:id="453"/>
      <w:r>
        <w:rPr>
          <w:color w:val="auto"/>
          <w:sz w:val="24"/>
          <w:szCs w:val="24"/>
          <w:highlight w:val="none"/>
        </w:rPr>
        <w:t>利物质条件</w:t>
      </w:r>
    </w:p>
    <w:p>
      <w:pPr>
        <w:spacing w:line="360" w:lineRule="auto"/>
        <w:ind w:firstLine="480" w:firstLineChars="200"/>
        <w:jc w:val="left"/>
        <w:rPr>
          <w:rFonts w:ascii="Times New Roman" w:hAnsi="Times New Roman" w:eastAsia="仿宋_GB2312"/>
          <w:color w:val="auto"/>
          <w:sz w:val="24"/>
          <w:szCs w:val="24"/>
          <w:highlight w:val="none"/>
          <w:u w:val="single"/>
        </w:rPr>
      </w:pPr>
      <w:bookmarkStart w:id="454" w:name="_Toc303539129"/>
      <w:bookmarkStart w:id="455" w:name="_Toc318581172"/>
      <w:bookmarkStart w:id="456" w:name="_Toc304295550"/>
      <w:bookmarkStart w:id="457" w:name="_Toc297216179"/>
      <w:bookmarkStart w:id="458" w:name="_Toc300934972"/>
      <w:bookmarkStart w:id="459" w:name="_Toc312678016"/>
      <w:bookmarkStart w:id="460" w:name="_Toc297123520"/>
      <w:r>
        <w:rPr>
          <w:rFonts w:ascii="Times New Roman" w:hAnsi="Times New Roman" w:eastAsia="仿宋_GB2312"/>
          <w:color w:val="auto"/>
          <w:sz w:val="24"/>
          <w:szCs w:val="24"/>
          <w:highlight w:val="none"/>
        </w:rPr>
        <w:t>不利物质条件的其他情形和有关约定：</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454"/>
    <w:bookmarkEnd w:id="455"/>
    <w:bookmarkEnd w:id="456"/>
    <w:bookmarkEnd w:id="457"/>
    <w:bookmarkEnd w:id="458"/>
    <w:bookmarkEnd w:id="459"/>
    <w:bookmarkEnd w:id="460"/>
    <w:p>
      <w:pPr>
        <w:pStyle w:val="11"/>
        <w:rPr>
          <w:color w:val="auto"/>
          <w:sz w:val="24"/>
          <w:szCs w:val="24"/>
          <w:highlight w:val="none"/>
        </w:rPr>
      </w:pPr>
      <w:r>
        <w:rPr>
          <w:color w:val="auto"/>
          <w:sz w:val="24"/>
          <w:szCs w:val="24"/>
          <w:highlight w:val="none"/>
        </w:rPr>
        <w:t>7</w:t>
      </w:r>
      <w:bookmarkStart w:id="461" w:name="_Toc312678017"/>
      <w:bookmarkStart w:id="462" w:name="_Toc297123521"/>
      <w:bookmarkStart w:id="463" w:name="_Toc300934973"/>
      <w:bookmarkStart w:id="464" w:name="_Toc303539130"/>
      <w:bookmarkStart w:id="465" w:name="_Toc297216180"/>
      <w:bookmarkStart w:id="466" w:name="_Toc304295551"/>
      <w:r>
        <w:rPr>
          <w:color w:val="auto"/>
          <w:sz w:val="24"/>
          <w:szCs w:val="24"/>
          <w:highlight w:val="none"/>
        </w:rPr>
        <w:t>.7异常恶劣的气候条件</w:t>
      </w:r>
    </w:p>
    <w:bookmarkEnd w:id="461"/>
    <w:bookmarkEnd w:id="462"/>
    <w:bookmarkEnd w:id="463"/>
    <w:bookmarkEnd w:id="464"/>
    <w:bookmarkEnd w:id="465"/>
    <w:bookmarkEnd w:id="466"/>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发包人和承包人同意以下情形视为异常恶劣的气候条件：</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7.9 提前竣工的奖励</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7.9.2提前竣工的奖励：</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0"/>
        <w:rPr>
          <w:color w:val="auto"/>
          <w:sz w:val="24"/>
          <w:szCs w:val="24"/>
          <w:highlight w:val="none"/>
        </w:rPr>
      </w:pPr>
      <w:bookmarkStart w:id="467" w:name="_Toc351203640"/>
      <w:r>
        <w:rPr>
          <w:color w:val="auto"/>
          <w:sz w:val="24"/>
          <w:szCs w:val="24"/>
          <w:highlight w:val="none"/>
        </w:rPr>
        <w:t>8. 材料与设备</w:t>
      </w:r>
      <w:bookmarkEnd w:id="467"/>
    </w:p>
    <w:bookmarkEnd w:id="402"/>
    <w:bookmarkEnd w:id="403"/>
    <w:bookmarkEnd w:id="404"/>
    <w:bookmarkEnd w:id="405"/>
    <w:bookmarkEnd w:id="406"/>
    <w:bookmarkEnd w:id="407"/>
    <w:bookmarkEnd w:id="408"/>
    <w:bookmarkEnd w:id="409"/>
    <w:bookmarkEnd w:id="410"/>
    <w:bookmarkEnd w:id="411"/>
    <w:p>
      <w:pPr>
        <w:pStyle w:val="11"/>
        <w:rPr>
          <w:color w:val="auto"/>
          <w:sz w:val="24"/>
          <w:szCs w:val="24"/>
          <w:highlight w:val="none"/>
        </w:rPr>
      </w:pPr>
      <w:r>
        <w:rPr>
          <w:color w:val="auto"/>
          <w:sz w:val="24"/>
          <w:szCs w:val="24"/>
          <w:highlight w:val="none"/>
        </w:rPr>
        <w:t>8</w:t>
      </w:r>
      <w:bookmarkStart w:id="468" w:name="_Toc300934979"/>
      <w:bookmarkStart w:id="469" w:name="_Toc292559877"/>
      <w:bookmarkStart w:id="470" w:name="_Toc304295556"/>
      <w:bookmarkStart w:id="471" w:name="_Toc296503167"/>
      <w:bookmarkStart w:id="472" w:name="_Toc312678019"/>
      <w:bookmarkStart w:id="473" w:name="_Toc297216186"/>
      <w:bookmarkStart w:id="474" w:name="_Toc297048353"/>
      <w:bookmarkStart w:id="475" w:name="_Toc296347166"/>
      <w:bookmarkStart w:id="476" w:name="_Toc296891207"/>
      <w:bookmarkStart w:id="477" w:name="_Toc280868654"/>
      <w:bookmarkStart w:id="478" w:name="_Toc296890995"/>
      <w:bookmarkStart w:id="479" w:name="_Toc296346668"/>
      <w:bookmarkStart w:id="480" w:name="_Toc312677493"/>
      <w:bookmarkStart w:id="481" w:name="_Toc292559372"/>
      <w:bookmarkStart w:id="482" w:name="_Toc297120467"/>
      <w:bookmarkStart w:id="483" w:name="_Toc303539136"/>
      <w:bookmarkStart w:id="484" w:name="_Toc297123527"/>
      <w:bookmarkStart w:id="485" w:name="_Toc296944506"/>
      <w:bookmarkStart w:id="486" w:name="_Toc267251424"/>
      <w:bookmarkStart w:id="487" w:name="_Toc280868656"/>
      <w:bookmarkStart w:id="488" w:name="_Toc280868655"/>
      <w:r>
        <w:rPr>
          <w:color w:val="auto"/>
          <w:sz w:val="24"/>
          <w:szCs w:val="24"/>
          <w:highlight w:val="none"/>
        </w:rPr>
        <w:t>.4材料与工程设备的保管与使用</w:t>
      </w:r>
    </w:p>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8</w:t>
      </w:r>
      <w:bookmarkStart w:id="489" w:name="_Toc292559878"/>
      <w:bookmarkStart w:id="490" w:name="_Toc292559373"/>
      <w:bookmarkStart w:id="491" w:name="_Toc303539137"/>
      <w:bookmarkStart w:id="492" w:name="_Toc297216187"/>
      <w:bookmarkStart w:id="493" w:name="_Toc296347167"/>
      <w:bookmarkStart w:id="494" w:name="_Toc297123528"/>
      <w:bookmarkStart w:id="495" w:name="_Toc312677494"/>
      <w:bookmarkStart w:id="496" w:name="_Toc296890996"/>
      <w:bookmarkStart w:id="497" w:name="_Toc318581173"/>
      <w:bookmarkStart w:id="498" w:name="_Toc296944507"/>
      <w:bookmarkStart w:id="499" w:name="_Toc296503168"/>
      <w:bookmarkStart w:id="500" w:name="_Toc297048354"/>
      <w:bookmarkStart w:id="501" w:name="_Toc297120468"/>
      <w:bookmarkStart w:id="502" w:name="_Toc304295557"/>
      <w:bookmarkStart w:id="503" w:name="_Toc312678020"/>
      <w:bookmarkStart w:id="504" w:name="_Toc296891208"/>
      <w:bookmarkStart w:id="505" w:name="_Toc296346669"/>
      <w:bookmarkStart w:id="506" w:name="_Toc300934980"/>
      <w:r>
        <w:rPr>
          <w:rFonts w:ascii="Times New Roman" w:hAnsi="Times New Roman" w:eastAsia="仿宋_GB2312"/>
          <w:color w:val="auto"/>
          <w:sz w:val="24"/>
          <w:szCs w:val="24"/>
          <w:highlight w:val="none"/>
        </w:rPr>
        <w:t>.4.1发包人供应的材料设备的保管费用的承担：</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bookmarkEnd w:id="489"/>
      <w:bookmarkEnd w:id="490"/>
    </w:p>
    <w:p>
      <w:pPr>
        <w:pStyle w:val="11"/>
        <w:rPr>
          <w:color w:val="auto"/>
          <w:sz w:val="24"/>
          <w:szCs w:val="24"/>
          <w:highlight w:val="none"/>
        </w:rPr>
      </w:pPr>
      <w:r>
        <w:rPr>
          <w:color w:val="auto"/>
          <w:sz w:val="24"/>
          <w:szCs w:val="24"/>
          <w:highlight w:val="none"/>
        </w:rPr>
        <w:t>8.6 样品</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8.6.1</w:t>
      </w:r>
      <w:r>
        <w:rPr>
          <w:rFonts w:ascii="Times New Roman" w:hAnsi="Times New Roman" w:eastAsia="仿宋_GB2312"/>
          <w:color w:val="auto"/>
          <w:kern w:val="0"/>
          <w:sz w:val="24"/>
          <w:szCs w:val="24"/>
          <w:highlight w:val="none"/>
        </w:rPr>
        <w:tab/>
      </w:r>
      <w:r>
        <w:rPr>
          <w:rFonts w:ascii="Times New Roman" w:hAnsi="Times New Roman" w:eastAsia="仿宋_GB2312"/>
          <w:color w:val="auto"/>
          <w:kern w:val="0"/>
          <w:sz w:val="24"/>
          <w:szCs w:val="24"/>
          <w:highlight w:val="none"/>
        </w:rPr>
        <w:t>样品的报送</w:t>
      </w:r>
      <w:r>
        <w:rPr>
          <w:rFonts w:hint="eastAsia" w:ascii="Times New Roman" w:hAnsi="Times New Roman" w:eastAsia="仿宋_GB2312"/>
          <w:color w:val="auto"/>
          <w:kern w:val="0"/>
          <w:sz w:val="24"/>
          <w:szCs w:val="24"/>
          <w:highlight w:val="none"/>
        </w:rPr>
        <w:t>与封存</w:t>
      </w:r>
    </w:p>
    <w:p>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kern w:val="0"/>
          <w:sz w:val="24"/>
          <w:szCs w:val="24"/>
          <w:highlight w:val="none"/>
        </w:rPr>
        <w:t>需要承包人报送样品的材料或工程设备，样品的种类、名称、规格、数量要求：</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autoSpaceDE w:val="0"/>
        <w:autoSpaceDN w:val="0"/>
        <w:adjustRightInd w:val="0"/>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8.8 施工设备和临时设施</w:t>
      </w:r>
    </w:p>
    <w:p>
      <w:pPr>
        <w:autoSpaceDE w:val="0"/>
        <w:autoSpaceDN w:val="0"/>
        <w:adjustRightInd w:val="0"/>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8.8.1 承包人提供的施工设备和临时设施</w:t>
      </w:r>
    </w:p>
    <w:p>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关于修建临时设施费用承担的约定：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p>
    <w:p>
      <w:pPr>
        <w:autoSpaceDE w:val="0"/>
        <w:autoSpaceDN w:val="0"/>
        <w:adjustRightInd w:val="0"/>
        <w:spacing w:line="360"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Pr>
        <w:pStyle w:val="10"/>
        <w:rPr>
          <w:color w:val="auto"/>
          <w:sz w:val="24"/>
          <w:szCs w:val="24"/>
          <w:highlight w:val="none"/>
        </w:rPr>
      </w:pPr>
      <w:bookmarkStart w:id="507" w:name="_Toc351203641"/>
      <w:r>
        <w:rPr>
          <w:color w:val="auto"/>
          <w:sz w:val="24"/>
          <w:szCs w:val="24"/>
          <w:highlight w:val="none"/>
        </w:rPr>
        <w:t>9</w:t>
      </w:r>
      <w:bookmarkEnd w:id="486"/>
      <w:bookmarkEnd w:id="487"/>
      <w:bookmarkEnd w:id="488"/>
      <w:bookmarkStart w:id="508" w:name="_Toc303539139"/>
      <w:bookmarkStart w:id="509" w:name="_Toc312678021"/>
      <w:bookmarkStart w:id="510" w:name="_Toc312677495"/>
      <w:bookmarkStart w:id="511" w:name="_Toc300934982"/>
      <w:bookmarkStart w:id="512" w:name="_Toc304295559"/>
      <w:bookmarkStart w:id="513" w:name="_Toc297216192"/>
      <w:bookmarkStart w:id="514" w:name="_Toc297123533"/>
      <w:bookmarkStart w:id="515" w:name="_Toc267251428"/>
      <w:bookmarkStart w:id="516" w:name="_Toc297120473"/>
      <w:bookmarkStart w:id="517" w:name="_Toc292559378"/>
      <w:bookmarkStart w:id="518" w:name="_Toc297048359"/>
      <w:bookmarkStart w:id="519" w:name="_Toc267251427"/>
      <w:bookmarkStart w:id="520" w:name="_Toc296891001"/>
      <w:bookmarkStart w:id="521" w:name="_Toc296347172"/>
      <w:bookmarkStart w:id="522" w:name="_Toc296944512"/>
      <w:bookmarkStart w:id="523" w:name="_Toc292559883"/>
      <w:bookmarkStart w:id="524" w:name="_Toc296503173"/>
      <w:bookmarkStart w:id="525" w:name="_Toc296346674"/>
      <w:bookmarkStart w:id="526" w:name="_Toc296891213"/>
      <w:r>
        <w:rPr>
          <w:color w:val="auto"/>
          <w:sz w:val="24"/>
          <w:szCs w:val="24"/>
          <w:highlight w:val="none"/>
        </w:rPr>
        <w:t>. 试验与检验</w:t>
      </w:r>
      <w:bookmarkEnd w:id="507"/>
    </w:p>
    <w:bookmarkEnd w:id="508"/>
    <w:bookmarkEnd w:id="509"/>
    <w:bookmarkEnd w:id="510"/>
    <w:bookmarkEnd w:id="511"/>
    <w:bookmarkEnd w:id="512"/>
    <w:bookmarkEnd w:id="513"/>
    <w:bookmarkEnd w:id="514"/>
    <w:p>
      <w:pPr>
        <w:pStyle w:val="11"/>
        <w:rPr>
          <w:color w:val="auto"/>
          <w:sz w:val="24"/>
          <w:szCs w:val="24"/>
          <w:highlight w:val="none"/>
        </w:rPr>
      </w:pPr>
      <w:r>
        <w:rPr>
          <w:color w:val="auto"/>
          <w:sz w:val="24"/>
          <w:szCs w:val="24"/>
          <w:highlight w:val="none"/>
        </w:rPr>
        <w:t>9</w:t>
      </w:r>
      <w:bookmarkStart w:id="527" w:name="_Toc303539140"/>
      <w:bookmarkStart w:id="528" w:name="_Toc297216193"/>
      <w:bookmarkStart w:id="529" w:name="_Toc297123534"/>
      <w:bookmarkStart w:id="530" w:name="_Toc312677496"/>
      <w:bookmarkStart w:id="531" w:name="_Toc304295560"/>
      <w:bookmarkStart w:id="532" w:name="_Toc300934983"/>
      <w:bookmarkStart w:id="533" w:name="_Toc312678022"/>
      <w:r>
        <w:rPr>
          <w:color w:val="auto"/>
          <w:sz w:val="24"/>
          <w:szCs w:val="24"/>
          <w:highlight w:val="none"/>
        </w:rPr>
        <w:t>.1试验设备与试验人员</w:t>
      </w:r>
    </w:p>
    <w:bookmarkEnd w:id="527"/>
    <w:bookmarkEnd w:id="528"/>
    <w:bookmarkEnd w:id="529"/>
    <w:bookmarkEnd w:id="530"/>
    <w:bookmarkEnd w:id="531"/>
    <w:bookmarkEnd w:id="532"/>
    <w:bookmarkEnd w:id="533"/>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9</w:t>
      </w:r>
      <w:bookmarkStart w:id="534" w:name="_Toc303539141"/>
      <w:bookmarkStart w:id="535" w:name="_Toc300934984"/>
      <w:bookmarkStart w:id="536" w:name="_Toc297123535"/>
      <w:bookmarkStart w:id="537" w:name="_Toc312677497"/>
      <w:bookmarkStart w:id="538" w:name="_Toc304295561"/>
      <w:bookmarkStart w:id="539" w:name="_Toc297216194"/>
      <w:bookmarkStart w:id="540" w:name="_Toc312678023"/>
      <w:bookmarkStart w:id="541" w:name="_Toc318581174"/>
      <w:r>
        <w:rPr>
          <w:rFonts w:ascii="Times New Roman" w:hAnsi="Times New Roman" w:eastAsia="仿宋_GB2312"/>
          <w:color w:val="auto"/>
          <w:sz w:val="24"/>
          <w:szCs w:val="24"/>
          <w:highlight w:val="none"/>
        </w:rPr>
        <w:t>.1.2 试验设备</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施工现场需要配置的试验场所：</w:t>
      </w:r>
      <w:bookmarkEnd w:id="534"/>
      <w:bookmarkEnd w:id="535"/>
      <w:bookmarkEnd w:id="536"/>
      <w:bookmarkEnd w:id="537"/>
      <w:bookmarkEnd w:id="538"/>
      <w:bookmarkEnd w:id="539"/>
      <w:bookmarkEnd w:id="540"/>
      <w:bookmarkStart w:id="542" w:name="_Toc304295562"/>
      <w:bookmarkStart w:id="543" w:name="_Toc300934985"/>
      <w:bookmarkStart w:id="544" w:name="_Toc297216195"/>
      <w:bookmarkStart w:id="545" w:name="_Toc312678024"/>
      <w:bookmarkStart w:id="546" w:name="_Toc312677498"/>
      <w:bookmarkStart w:id="547" w:name="_Toc297123536"/>
      <w:bookmarkStart w:id="548" w:name="_Toc303539142"/>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r>
        <w:rPr>
          <w:rFonts w:hint="eastAsia" w:ascii="Times New Roman" w:hAnsi="Times New Roman" w:eastAsia="仿宋_GB2312"/>
          <w:color w:val="auto"/>
          <w:sz w:val="24"/>
          <w:szCs w:val="24"/>
          <w:highlight w:val="none"/>
        </w:rPr>
        <w:t xml:space="preserve"> </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施工现场需要配备的试验设备：</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施工现场需要具备的其他试验条件：</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9.4 现场工艺试验</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现场工艺试验的有关约定：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541"/>
    <w:bookmarkEnd w:id="542"/>
    <w:bookmarkEnd w:id="543"/>
    <w:bookmarkEnd w:id="544"/>
    <w:bookmarkEnd w:id="545"/>
    <w:bookmarkEnd w:id="546"/>
    <w:bookmarkEnd w:id="547"/>
    <w:bookmarkEnd w:id="548"/>
    <w:p>
      <w:pPr>
        <w:pStyle w:val="10"/>
        <w:rPr>
          <w:color w:val="auto"/>
          <w:sz w:val="24"/>
          <w:szCs w:val="24"/>
          <w:highlight w:val="none"/>
        </w:rPr>
      </w:pPr>
      <w:bookmarkStart w:id="549" w:name="_Toc351203642"/>
      <w:r>
        <w:rPr>
          <w:color w:val="auto"/>
          <w:sz w:val="24"/>
          <w:szCs w:val="24"/>
          <w:highlight w:val="none"/>
        </w:rPr>
        <w:t>1</w:t>
      </w:r>
      <w:bookmarkEnd w:id="515"/>
      <w:bookmarkEnd w:id="516"/>
      <w:bookmarkEnd w:id="517"/>
      <w:bookmarkEnd w:id="518"/>
      <w:bookmarkEnd w:id="519"/>
      <w:bookmarkEnd w:id="520"/>
      <w:bookmarkEnd w:id="521"/>
      <w:bookmarkEnd w:id="522"/>
      <w:bookmarkEnd w:id="523"/>
      <w:bookmarkEnd w:id="524"/>
      <w:bookmarkEnd w:id="525"/>
      <w:bookmarkEnd w:id="526"/>
      <w:bookmarkStart w:id="550" w:name="_Toc296891233"/>
      <w:bookmarkStart w:id="551" w:name="_Toc297048379"/>
      <w:bookmarkStart w:id="552" w:name="_Toc304295566"/>
      <w:bookmarkStart w:id="553" w:name="_Toc296503193"/>
      <w:bookmarkStart w:id="554" w:name="_Toc297120493"/>
      <w:bookmarkStart w:id="555" w:name="_Toc296346694"/>
      <w:bookmarkStart w:id="556" w:name="_Toc292559903"/>
      <w:bookmarkStart w:id="557" w:name="_Toc292559398"/>
      <w:bookmarkStart w:id="558" w:name="_Toc300934989"/>
      <w:bookmarkStart w:id="559" w:name="_Toc296347192"/>
      <w:bookmarkStart w:id="560" w:name="_Toc296944532"/>
      <w:bookmarkStart w:id="561" w:name="_Toc296891021"/>
      <w:bookmarkStart w:id="562" w:name="_Toc297216199"/>
      <w:bookmarkStart w:id="563" w:name="_Toc297123540"/>
      <w:bookmarkStart w:id="564" w:name="_Toc303539146"/>
      <w:bookmarkStart w:id="565" w:name="_Toc312678025"/>
      <w:bookmarkStart w:id="566" w:name="_Toc312677499"/>
      <w:bookmarkStart w:id="567" w:name="_Toc267251439"/>
      <w:bookmarkStart w:id="568" w:name="_Toc267251437"/>
      <w:bookmarkStart w:id="569" w:name="_Toc267251440"/>
      <w:bookmarkStart w:id="570" w:name="_Toc267251433"/>
      <w:bookmarkStart w:id="571" w:name="_Toc267251435"/>
      <w:bookmarkStart w:id="572" w:name="_Toc267251441"/>
      <w:bookmarkStart w:id="573" w:name="_Toc267251442"/>
      <w:r>
        <w:rPr>
          <w:color w:val="auto"/>
          <w:sz w:val="24"/>
          <w:szCs w:val="24"/>
          <w:highlight w:val="none"/>
        </w:rPr>
        <w:t>0. 变更</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bookmarkEnd w:id="565"/>
    <w:bookmarkEnd w:id="566"/>
    <w:p>
      <w:pPr>
        <w:pStyle w:val="11"/>
        <w:rPr>
          <w:color w:val="auto"/>
          <w:sz w:val="24"/>
          <w:szCs w:val="24"/>
          <w:highlight w:val="none"/>
        </w:rPr>
      </w:pPr>
      <w:r>
        <w:rPr>
          <w:color w:val="auto"/>
          <w:sz w:val="24"/>
          <w:szCs w:val="24"/>
          <w:highlight w:val="none"/>
        </w:rPr>
        <w:t>1</w:t>
      </w:r>
      <w:bookmarkStart w:id="574" w:name="_Toc297123541"/>
      <w:bookmarkStart w:id="575" w:name="_Toc296891022"/>
      <w:bookmarkStart w:id="576" w:name="_Toc303539147"/>
      <w:bookmarkStart w:id="577" w:name="_Toc296347193"/>
      <w:bookmarkStart w:id="578" w:name="_Toc296891234"/>
      <w:bookmarkStart w:id="579" w:name="_Toc297216200"/>
      <w:bookmarkStart w:id="580" w:name="_Toc296503194"/>
      <w:bookmarkStart w:id="581" w:name="_Toc296346695"/>
      <w:bookmarkStart w:id="582" w:name="_Toc312677500"/>
      <w:bookmarkStart w:id="583" w:name="_Toc292559904"/>
      <w:bookmarkStart w:id="584" w:name="_Toc297120494"/>
      <w:bookmarkStart w:id="585" w:name="_Toc312678026"/>
      <w:bookmarkStart w:id="586" w:name="_Toc296944533"/>
      <w:bookmarkStart w:id="587" w:name="_Toc297048380"/>
      <w:bookmarkStart w:id="588" w:name="_Toc304295567"/>
      <w:bookmarkStart w:id="589" w:name="_Toc300934990"/>
      <w:bookmarkStart w:id="590" w:name="_Toc292559399"/>
      <w:r>
        <w:rPr>
          <w:color w:val="auto"/>
          <w:sz w:val="24"/>
          <w:szCs w:val="24"/>
          <w:highlight w:val="none"/>
        </w:rPr>
        <w:t>0.1变更的范围</w:t>
      </w:r>
    </w:p>
    <w:p>
      <w:pPr>
        <w:spacing w:line="360" w:lineRule="auto"/>
        <w:ind w:firstLine="6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关于变更的范围的约定：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10.4 变更估价</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10.4.1 变更估价原则</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 xml:space="preserve">关于变更估价的约定: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1</w:t>
      </w:r>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Start w:id="591" w:name="_Toc296891025"/>
      <w:bookmarkStart w:id="592" w:name="_Toc297120497"/>
      <w:bookmarkStart w:id="593" w:name="_Toc297123544"/>
      <w:bookmarkStart w:id="594" w:name="_Toc296346698"/>
      <w:bookmarkStart w:id="595" w:name="_Toc296347196"/>
      <w:bookmarkStart w:id="596" w:name="_Toc296503197"/>
      <w:bookmarkStart w:id="597" w:name="_Toc303539150"/>
      <w:bookmarkStart w:id="598" w:name="_Toc292559402"/>
      <w:bookmarkStart w:id="599" w:name="_Toc292559907"/>
      <w:bookmarkStart w:id="600" w:name="_Toc296891237"/>
      <w:bookmarkStart w:id="601" w:name="_Toc300934993"/>
      <w:bookmarkStart w:id="602" w:name="_Toc296944536"/>
      <w:bookmarkStart w:id="603" w:name="_Toc297216203"/>
      <w:bookmarkStart w:id="604" w:name="_Toc297048383"/>
      <w:bookmarkStart w:id="605" w:name="_Toc312677503"/>
      <w:bookmarkStart w:id="606" w:name="_Toc304295570"/>
      <w:bookmarkStart w:id="607" w:name="_Toc312678029"/>
      <w:r>
        <w:rPr>
          <w:color w:val="auto"/>
          <w:sz w:val="24"/>
          <w:szCs w:val="24"/>
          <w:highlight w:val="none"/>
        </w:rPr>
        <w:t>0.5承</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Start w:id="608" w:name="_Toc292559408"/>
      <w:bookmarkStart w:id="609" w:name="_Toc297048389"/>
      <w:bookmarkStart w:id="610" w:name="_Toc297123545"/>
      <w:bookmarkStart w:id="611" w:name="_Toc292559913"/>
      <w:bookmarkStart w:id="612" w:name="_Toc296503203"/>
      <w:bookmarkStart w:id="613" w:name="_Toc296891031"/>
      <w:bookmarkStart w:id="614" w:name="_Toc296346704"/>
      <w:bookmarkStart w:id="615" w:name="_Toc296944542"/>
      <w:bookmarkStart w:id="616" w:name="_Toc296347202"/>
      <w:bookmarkStart w:id="617" w:name="_Toc297216204"/>
      <w:bookmarkStart w:id="618" w:name="_Toc297120503"/>
      <w:bookmarkStart w:id="619" w:name="_Toc296891243"/>
      <w:bookmarkStart w:id="620" w:name="_Toc303539151"/>
      <w:bookmarkStart w:id="621" w:name="_Toc300934994"/>
      <w:r>
        <w:rPr>
          <w:color w:val="auto"/>
          <w:sz w:val="24"/>
          <w:szCs w:val="24"/>
          <w:highlight w:val="none"/>
        </w:rPr>
        <w:t>包人的合理化建议</w:t>
      </w:r>
    </w:p>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监理人审查承包人合理化建议的期限：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发包人审批承包人合理化建议的期限：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承</w:t>
      </w:r>
      <w:bookmarkStart w:id="622" w:name="_Toc297216205"/>
      <w:bookmarkStart w:id="623" w:name="_Toc312678030"/>
      <w:bookmarkStart w:id="624" w:name="_Toc300934995"/>
      <w:bookmarkStart w:id="625" w:name="_Toc318581175"/>
      <w:bookmarkStart w:id="626" w:name="_Toc304295571"/>
      <w:bookmarkStart w:id="627" w:name="_Toc296347203"/>
      <w:bookmarkStart w:id="628" w:name="_Toc303539152"/>
      <w:bookmarkStart w:id="629" w:name="_Toc296944543"/>
      <w:bookmarkStart w:id="630" w:name="_Toc296346705"/>
      <w:bookmarkStart w:id="631" w:name="_Toc296503204"/>
      <w:bookmarkStart w:id="632" w:name="_Toc297123546"/>
      <w:bookmarkStart w:id="633" w:name="_Toc296891032"/>
      <w:bookmarkStart w:id="634" w:name="_Toc292559914"/>
      <w:bookmarkStart w:id="635" w:name="_Toc297120504"/>
      <w:bookmarkStart w:id="636" w:name="_Toc312677504"/>
      <w:bookmarkStart w:id="637" w:name="_Toc297048390"/>
      <w:bookmarkStart w:id="638" w:name="_Toc296891244"/>
      <w:bookmarkStart w:id="639" w:name="_Toc292559409"/>
      <w:r>
        <w:rPr>
          <w:rFonts w:ascii="Times New Roman" w:hAnsi="Times New Roman" w:eastAsia="仿宋_GB2312"/>
          <w:color w:val="auto"/>
          <w:sz w:val="24"/>
          <w:szCs w:val="24"/>
          <w:highlight w:val="none"/>
        </w:rPr>
        <w:t>包人提出的合理化建议降低了合同价格或者提高了工程经济效益的奖励的方法和金额为：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u w:val="single"/>
        </w:rPr>
      </w:pP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Pr>
        <w:pStyle w:val="11"/>
        <w:rPr>
          <w:color w:val="auto"/>
          <w:sz w:val="24"/>
          <w:szCs w:val="24"/>
          <w:highlight w:val="none"/>
        </w:rPr>
      </w:pPr>
      <w:r>
        <w:rPr>
          <w:color w:val="auto"/>
          <w:sz w:val="24"/>
          <w:szCs w:val="24"/>
          <w:highlight w:val="none"/>
        </w:rPr>
        <w:t>1</w:t>
      </w:r>
      <w:bookmarkStart w:id="640" w:name="_Toc304295574"/>
      <w:bookmarkStart w:id="641" w:name="_Toc297216207"/>
      <w:bookmarkStart w:id="642" w:name="_Toc292559404"/>
      <w:bookmarkStart w:id="643" w:name="_Toc300934997"/>
      <w:bookmarkStart w:id="644" w:name="_Toc303539154"/>
      <w:bookmarkStart w:id="645" w:name="_Toc296891027"/>
      <w:bookmarkStart w:id="646" w:name="_Toc297123548"/>
      <w:bookmarkStart w:id="647" w:name="_Toc297120499"/>
      <w:bookmarkStart w:id="648" w:name="_Toc296503199"/>
      <w:bookmarkStart w:id="649" w:name="_Toc296346700"/>
      <w:bookmarkStart w:id="650" w:name="_Toc296891239"/>
      <w:bookmarkStart w:id="651" w:name="_Toc296944538"/>
      <w:bookmarkStart w:id="652" w:name="_Toc297048385"/>
      <w:bookmarkStart w:id="653" w:name="_Toc292559909"/>
      <w:bookmarkStart w:id="654" w:name="_Toc312678033"/>
      <w:bookmarkStart w:id="655" w:name="_Toc296347198"/>
      <w:bookmarkStart w:id="656" w:name="_Toc312677507"/>
      <w:r>
        <w:rPr>
          <w:color w:val="auto"/>
          <w:sz w:val="24"/>
          <w:szCs w:val="24"/>
          <w:highlight w:val="none"/>
        </w:rPr>
        <w:t>0.7 暂估价</w:t>
      </w:r>
    </w:p>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暂</w:t>
      </w:r>
      <w:bookmarkStart w:id="657" w:name="_Toc318581176"/>
      <w:bookmarkStart w:id="658" w:name="_Toc312678034"/>
      <w:bookmarkStart w:id="659" w:name="_Toc312677508"/>
      <w:r>
        <w:rPr>
          <w:rFonts w:ascii="Times New Roman" w:hAnsi="Times New Roman" w:eastAsia="仿宋_GB2312"/>
          <w:color w:val="auto"/>
          <w:kern w:val="0"/>
          <w:sz w:val="24"/>
          <w:szCs w:val="24"/>
          <w:highlight w:val="none"/>
        </w:rPr>
        <w:t>估价材料和工程设备的明细详见附件</w:t>
      </w:r>
      <w:r>
        <w:rPr>
          <w:rFonts w:hint="eastAsia" w:ascii="Times New Roman" w:hAnsi="Times New Roman" w:eastAsia="仿宋_GB2312"/>
          <w:color w:val="auto"/>
          <w:kern w:val="0"/>
          <w:sz w:val="24"/>
          <w:szCs w:val="24"/>
          <w:highlight w:val="none"/>
        </w:rPr>
        <w:t>11：《</w:t>
      </w:r>
      <w:r>
        <w:rPr>
          <w:rFonts w:ascii="Times New Roman" w:hAnsi="Times New Roman" w:eastAsia="仿宋_GB2312"/>
          <w:color w:val="auto"/>
          <w:sz w:val="24"/>
          <w:szCs w:val="24"/>
          <w:highlight w:val="none"/>
        </w:rPr>
        <w:t>暂估价一览表</w:t>
      </w:r>
      <w:r>
        <w:rPr>
          <w:rFonts w:hint="eastAsia" w:ascii="Times New Roman" w:hAnsi="Times New Roman" w:eastAsia="仿宋_GB2312"/>
          <w:color w:val="auto"/>
          <w:sz w:val="24"/>
          <w:szCs w:val="24"/>
          <w:highlight w:val="none"/>
        </w:rPr>
        <w:t>》</w:t>
      </w:r>
      <w:r>
        <w:rPr>
          <w:rFonts w:hint="eastAsia" w:ascii="Times New Roman" w:hAnsi="Times New Roman" w:eastAsia="仿宋_GB2312"/>
          <w:color w:val="auto"/>
          <w:kern w:val="0"/>
          <w:sz w:val="24"/>
          <w:szCs w:val="24"/>
          <w:highlight w:val="none"/>
        </w:rPr>
        <w:t>。</w:t>
      </w:r>
    </w:p>
    <w:bookmarkEnd w:id="657"/>
    <w:bookmarkEnd w:id="658"/>
    <w:bookmarkEnd w:id="659"/>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w:t>
      </w:r>
      <w:bookmarkStart w:id="660" w:name="_Toc312677509"/>
      <w:bookmarkStart w:id="661" w:name="_Toc312678035"/>
      <w:bookmarkStart w:id="662" w:name="_Toc318581177"/>
      <w:r>
        <w:rPr>
          <w:rFonts w:ascii="Times New Roman" w:hAnsi="Times New Roman" w:eastAsia="仿宋_GB2312"/>
          <w:color w:val="auto"/>
          <w:sz w:val="24"/>
          <w:szCs w:val="24"/>
          <w:highlight w:val="none"/>
        </w:rPr>
        <w:t>0.7.1 依法必须招标的暂估价项目</w:t>
      </w:r>
    </w:p>
    <w:bookmarkEnd w:id="660"/>
    <w:bookmarkEnd w:id="661"/>
    <w:bookmarkEnd w:id="662"/>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对于依法必须招标的暂估价项目的确认和批准采取第</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种方式确定。</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10.7.2 不属于依法必须招标的暂估价项目</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对于不属于依法必须招标的暂估价项目的确认和批准采取第</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种方式确定。</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第3种方式：</w:t>
      </w:r>
      <w:r>
        <w:rPr>
          <w:rFonts w:ascii="Times New Roman" w:hAnsi="Times New Roman" w:eastAsia="仿宋_GB2312"/>
          <w:color w:val="auto"/>
          <w:kern w:val="0"/>
          <w:sz w:val="24"/>
          <w:szCs w:val="24"/>
          <w:highlight w:val="none"/>
        </w:rPr>
        <w:t>承包人直接实施的暂估价项目</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承包人直接实施的暂估价项目的约定：</w:t>
      </w:r>
      <w:r>
        <w:rPr>
          <w:rFonts w:ascii="Times New Roman" w:hAnsi="Times New Roman" w:eastAsia="仿宋_GB2312"/>
          <w:color w:val="auto"/>
          <w:sz w:val="24"/>
          <w:szCs w:val="24"/>
          <w:highlight w:val="none"/>
          <w:u w:val="single"/>
        </w:rPr>
        <w:t xml:space="preserve">                     </w:t>
      </w:r>
    </w:p>
    <w:p>
      <w:pPr>
        <w:spacing w:line="360" w:lineRule="auto"/>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10.8 暂列金额</w:t>
      </w:r>
    </w:p>
    <w:p>
      <w:pPr>
        <w:autoSpaceDE w:val="0"/>
        <w:autoSpaceDN w:val="0"/>
        <w:adjustRightInd w:val="0"/>
        <w:spacing w:line="360" w:lineRule="auto"/>
        <w:ind w:firstLine="480" w:firstLineChars="200"/>
        <w:jc w:val="left"/>
        <w:rPr>
          <w:rFonts w:hint="eastAsia" w:ascii="Times New Roman" w:hAnsi="Times New Roman" w:eastAsia="仿宋_GB2312"/>
          <w:color w:val="auto"/>
          <w:sz w:val="24"/>
          <w:szCs w:val="24"/>
          <w:highlight w:val="none"/>
          <w:u w:val="single"/>
        </w:rPr>
      </w:pPr>
      <w:r>
        <w:rPr>
          <w:rFonts w:hint="eastAsia" w:ascii="Times New Roman" w:hAnsi="Times New Roman" w:eastAsia="仿宋_GB2312"/>
          <w:color w:val="auto"/>
          <w:kern w:val="0"/>
          <w:sz w:val="24"/>
          <w:szCs w:val="24"/>
          <w:highlight w:val="none"/>
        </w:rPr>
        <w:t>合同当事人关于暂列金额使用的约定：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p>
    <w:p>
      <w:pPr>
        <w:autoSpaceDE w:val="0"/>
        <w:autoSpaceDN w:val="0"/>
        <w:adjustRightInd w:val="0"/>
        <w:spacing w:line="360" w:lineRule="auto"/>
        <w:jc w:val="left"/>
        <w:rPr>
          <w:rFonts w:ascii="Times New Roman" w:hAnsi="Times New Roman" w:eastAsia="仿宋_GB2312"/>
          <w:color w:val="auto"/>
          <w:kern w:val="0"/>
          <w:sz w:val="24"/>
          <w:szCs w:val="24"/>
          <w:highlight w:val="none"/>
        </w:rPr>
      </w:pP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kern w:val="0"/>
          <w:sz w:val="24"/>
          <w:szCs w:val="24"/>
          <w:highlight w:val="none"/>
        </w:rPr>
        <w:t>。</w:t>
      </w:r>
    </w:p>
    <w:p>
      <w:pPr>
        <w:pStyle w:val="10"/>
        <w:rPr>
          <w:color w:val="auto"/>
          <w:sz w:val="24"/>
          <w:szCs w:val="24"/>
          <w:highlight w:val="none"/>
        </w:rPr>
      </w:pPr>
      <w:bookmarkStart w:id="663" w:name="_Toc351203643"/>
      <w:r>
        <w:rPr>
          <w:color w:val="auto"/>
          <w:sz w:val="24"/>
          <w:szCs w:val="24"/>
          <w:highlight w:val="none"/>
        </w:rPr>
        <w:t>11. 价格调整</w:t>
      </w:r>
      <w:bookmarkEnd w:id="663"/>
    </w:p>
    <w:p>
      <w:pPr>
        <w:pStyle w:val="11"/>
        <w:rPr>
          <w:color w:val="auto"/>
          <w:sz w:val="24"/>
          <w:szCs w:val="24"/>
          <w:highlight w:val="none"/>
        </w:rPr>
      </w:pPr>
      <w:bookmarkStart w:id="664" w:name="_Toc297216209"/>
      <w:bookmarkStart w:id="665" w:name="_Toc312678039"/>
      <w:bookmarkStart w:id="666" w:name="_Toc292559911"/>
      <w:bookmarkStart w:id="667" w:name="_Toc296347200"/>
      <w:bookmarkStart w:id="668" w:name="_Toc300935000"/>
      <w:bookmarkStart w:id="669" w:name="_Toc296944540"/>
      <w:bookmarkStart w:id="670" w:name="_Toc296891029"/>
      <w:bookmarkStart w:id="671" w:name="_Toc297123550"/>
      <w:bookmarkStart w:id="672" w:name="_Toc296346702"/>
      <w:bookmarkStart w:id="673" w:name="_Toc296891241"/>
      <w:bookmarkStart w:id="674" w:name="_Toc297048387"/>
      <w:bookmarkStart w:id="675" w:name="_Toc304295577"/>
      <w:bookmarkStart w:id="676" w:name="_Toc292559406"/>
      <w:bookmarkStart w:id="677" w:name="_Toc297120501"/>
      <w:bookmarkStart w:id="678" w:name="_Toc296503201"/>
      <w:bookmarkStart w:id="679" w:name="_Toc303539157"/>
      <w:r>
        <w:rPr>
          <w:color w:val="auto"/>
          <w:sz w:val="24"/>
          <w:szCs w:val="24"/>
          <w:highlight w:val="none"/>
        </w:rPr>
        <w:t>11.1 市场价格波动引起的调整</w:t>
      </w:r>
    </w:p>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市场价格波动是否调整合同价格的约定：</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因市场价格波动调整合同价格，采用以下第</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种方式对合同价格进行调整：</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第1种方式：采用价格指数</w:t>
      </w:r>
      <w:r>
        <w:rPr>
          <w:rFonts w:hint="eastAsia" w:ascii="Times New Roman" w:hAnsi="Times New Roman" w:eastAsia="仿宋_GB2312"/>
          <w:color w:val="auto"/>
          <w:sz w:val="24"/>
          <w:szCs w:val="24"/>
          <w:highlight w:val="none"/>
        </w:rPr>
        <w:t>进行价格</w:t>
      </w:r>
      <w:r>
        <w:rPr>
          <w:rFonts w:ascii="Times New Roman" w:hAnsi="Times New Roman" w:eastAsia="仿宋_GB2312"/>
          <w:color w:val="auto"/>
          <w:sz w:val="24"/>
          <w:szCs w:val="24"/>
          <w:highlight w:val="none"/>
        </w:rPr>
        <w:t>调整。</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关于各可调因子、定值和变值权重，以及基本价格指数及其来源的约定：</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第2种方式：采用造价信息</w:t>
      </w:r>
      <w:r>
        <w:rPr>
          <w:rFonts w:hint="eastAsia" w:ascii="Times New Roman" w:hAnsi="Times New Roman" w:eastAsia="仿宋_GB2312"/>
          <w:color w:val="auto"/>
          <w:sz w:val="24"/>
          <w:szCs w:val="24"/>
          <w:highlight w:val="none"/>
        </w:rPr>
        <w:t>进行价格</w:t>
      </w:r>
      <w:r>
        <w:rPr>
          <w:rFonts w:ascii="Times New Roman" w:hAnsi="Times New Roman" w:eastAsia="仿宋_GB2312"/>
          <w:color w:val="auto"/>
          <w:sz w:val="24"/>
          <w:szCs w:val="24"/>
          <w:highlight w:val="none"/>
        </w:rPr>
        <w:t>调整。</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（2）关于基准价格的约定：</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专用合同条款</w:t>
      </w:r>
      <w:r>
        <w:rPr>
          <w:rFonts w:hint="eastAsia" w:ascii="宋体" w:hAnsi="宋体" w:cs="宋体"/>
          <w:color w:val="auto"/>
          <w:sz w:val="24"/>
          <w:szCs w:val="24"/>
          <w:highlight w:val="none"/>
        </w:rPr>
        <w:t>①</w:t>
      </w:r>
      <w:r>
        <w:rPr>
          <w:rFonts w:ascii="Times New Roman" w:hAnsi="Times New Roman" w:eastAsia="仿宋_GB2312"/>
          <w:color w:val="auto"/>
          <w:sz w:val="24"/>
          <w:szCs w:val="24"/>
          <w:highlight w:val="none"/>
        </w:rPr>
        <w:t>承包人在已标价工程量清单或预算书中载明的材料单价低于基准价格的：专用合同条款合同履行期间材料单价涨幅以基准价格为基础超过</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%时，或材料单价跌幅以已标价工程量清单或预算书中载明材料单价为基础超过</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%时，其超过部分据实调整。</w:t>
      </w:r>
    </w:p>
    <w:p>
      <w:pPr>
        <w:spacing w:line="360" w:lineRule="auto"/>
        <w:ind w:firstLine="480" w:firstLineChars="200"/>
        <w:jc w:val="left"/>
        <w:rPr>
          <w:rFonts w:ascii="Times New Roman" w:hAnsi="Times New Roman" w:eastAsia="仿宋_GB2312"/>
          <w:color w:val="auto"/>
          <w:sz w:val="24"/>
          <w:szCs w:val="24"/>
          <w:highlight w:val="none"/>
        </w:rPr>
      </w:pPr>
      <w:r>
        <w:rPr>
          <w:rFonts w:hint="eastAsia" w:ascii="宋体" w:hAnsi="宋体" w:cs="宋体"/>
          <w:color w:val="auto"/>
          <w:sz w:val="24"/>
          <w:szCs w:val="24"/>
          <w:highlight w:val="none"/>
        </w:rPr>
        <w:t>②</w:t>
      </w:r>
      <w:r>
        <w:rPr>
          <w:rFonts w:ascii="Times New Roman" w:hAnsi="Times New Roman" w:eastAsia="仿宋_GB2312"/>
          <w:color w:val="auto"/>
          <w:sz w:val="24"/>
          <w:szCs w:val="24"/>
          <w:highlight w:val="none"/>
        </w:rPr>
        <w:t>承包人在已标价工程量清单或预算书中载明的材料单价高于基准价格的：专用合同条款合同履行期间材料单价跌幅以基准价格为基础超过</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%时，材料单价涨幅以已标价工程量清单或预算书中载明材料单价为基础超过</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%时，其超过部分据实调整。</w:t>
      </w:r>
    </w:p>
    <w:p>
      <w:pPr>
        <w:spacing w:line="360" w:lineRule="auto"/>
        <w:ind w:firstLine="645"/>
        <w:jc w:val="left"/>
        <w:rPr>
          <w:rFonts w:ascii="Times New Roman" w:hAnsi="Times New Roman" w:eastAsia="仿宋_GB2312"/>
          <w:color w:val="auto"/>
          <w:sz w:val="24"/>
          <w:szCs w:val="24"/>
          <w:highlight w:val="none"/>
        </w:rPr>
      </w:pPr>
      <w:r>
        <w:rPr>
          <w:rFonts w:hint="eastAsia" w:ascii="宋体" w:hAnsi="宋体" w:cs="宋体"/>
          <w:color w:val="auto"/>
          <w:sz w:val="24"/>
          <w:szCs w:val="24"/>
          <w:highlight w:val="none"/>
        </w:rPr>
        <w:t>③</w:t>
      </w:r>
      <w:r>
        <w:rPr>
          <w:rFonts w:ascii="Times New Roman" w:hAnsi="Times New Roman" w:eastAsia="仿宋_GB2312"/>
          <w:color w:val="auto"/>
          <w:sz w:val="24"/>
          <w:szCs w:val="24"/>
          <w:highlight w:val="none"/>
        </w:rPr>
        <w:t>承包人在已标价工程量清单或预算书中载明的材料单价等于基准单价的：专用合同条款合同履行期间材料单价涨跌幅以基准单价为基础超过±</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%时，其超过部分据实调整。</w:t>
      </w:r>
    </w:p>
    <w:p>
      <w:pPr>
        <w:spacing w:line="360" w:lineRule="auto"/>
        <w:ind w:firstLine="645"/>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第3种方式：其他价格调整方式：</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567"/>
    <w:bookmarkEnd w:id="568"/>
    <w:bookmarkEnd w:id="569"/>
    <w:bookmarkEnd w:id="570"/>
    <w:bookmarkEnd w:id="571"/>
    <w:bookmarkEnd w:id="572"/>
    <w:p>
      <w:pPr>
        <w:pStyle w:val="10"/>
        <w:rPr>
          <w:color w:val="auto"/>
          <w:sz w:val="24"/>
          <w:szCs w:val="24"/>
          <w:highlight w:val="none"/>
        </w:rPr>
      </w:pPr>
      <w:bookmarkStart w:id="680" w:name="_Toc296347204"/>
      <w:bookmarkStart w:id="681" w:name="_Toc296346706"/>
      <w:bookmarkStart w:id="682" w:name="_Toc297048391"/>
      <w:bookmarkStart w:id="683" w:name="_Toc292559915"/>
      <w:bookmarkStart w:id="684" w:name="_Toc296891245"/>
      <w:bookmarkStart w:id="685" w:name="_Toc292559410"/>
      <w:bookmarkStart w:id="686" w:name="_Toc296503205"/>
      <w:bookmarkStart w:id="687" w:name="_Toc297120505"/>
      <w:bookmarkStart w:id="688" w:name="_Toc296944544"/>
      <w:bookmarkStart w:id="689" w:name="_Toc296891033"/>
      <w:bookmarkStart w:id="690" w:name="_Toc351203644"/>
      <w:bookmarkStart w:id="691" w:name="_Toc297123552"/>
      <w:bookmarkStart w:id="692" w:name="_Toc304295579"/>
      <w:bookmarkStart w:id="693" w:name="_Toc312678040"/>
      <w:bookmarkStart w:id="694" w:name="_Toc303539159"/>
      <w:bookmarkStart w:id="695" w:name="_Toc300935002"/>
      <w:bookmarkStart w:id="696" w:name="_Toc297216211"/>
      <w:r>
        <w:rPr>
          <w:color w:val="auto"/>
          <w:sz w:val="24"/>
          <w:szCs w:val="24"/>
          <w:highlight w:val="none"/>
        </w:rPr>
        <w:t xml:space="preserve">12. </w:t>
      </w:r>
      <w:bookmarkEnd w:id="680"/>
      <w:bookmarkEnd w:id="681"/>
      <w:bookmarkEnd w:id="682"/>
      <w:bookmarkEnd w:id="683"/>
      <w:bookmarkEnd w:id="684"/>
      <w:bookmarkEnd w:id="685"/>
      <w:bookmarkEnd w:id="686"/>
      <w:bookmarkEnd w:id="687"/>
      <w:bookmarkEnd w:id="688"/>
      <w:bookmarkEnd w:id="689"/>
      <w:r>
        <w:rPr>
          <w:color w:val="auto"/>
          <w:sz w:val="24"/>
          <w:szCs w:val="24"/>
          <w:highlight w:val="none"/>
        </w:rPr>
        <w:t>合同价格、计量与支付</w:t>
      </w:r>
      <w:bookmarkEnd w:id="690"/>
    </w:p>
    <w:bookmarkEnd w:id="691"/>
    <w:bookmarkEnd w:id="692"/>
    <w:bookmarkEnd w:id="693"/>
    <w:bookmarkEnd w:id="694"/>
    <w:bookmarkEnd w:id="695"/>
    <w:bookmarkEnd w:id="696"/>
    <w:p>
      <w:pPr>
        <w:pStyle w:val="11"/>
        <w:rPr>
          <w:color w:val="auto"/>
          <w:sz w:val="24"/>
          <w:szCs w:val="24"/>
          <w:highlight w:val="none"/>
        </w:rPr>
      </w:pPr>
      <w:bookmarkStart w:id="697" w:name="_Toc292559411"/>
      <w:bookmarkStart w:id="698" w:name="_Toc267251461"/>
      <w:bookmarkStart w:id="699" w:name="_Toc292559916"/>
      <w:bookmarkStart w:id="700" w:name="_Toc296944545"/>
      <w:bookmarkStart w:id="701" w:name="_Toc296891034"/>
      <w:bookmarkStart w:id="702" w:name="_Toc297048392"/>
      <w:bookmarkStart w:id="703" w:name="_Toc297120506"/>
      <w:bookmarkStart w:id="704" w:name="_Toc296347205"/>
      <w:bookmarkStart w:id="705" w:name="_Toc296346707"/>
      <w:bookmarkStart w:id="706" w:name="_Toc296891246"/>
      <w:bookmarkStart w:id="707" w:name="_Toc296503206"/>
      <w:bookmarkStart w:id="708" w:name="_Toc297216212"/>
      <w:bookmarkStart w:id="709" w:name="_Toc300935003"/>
      <w:bookmarkStart w:id="710" w:name="_Toc297123553"/>
      <w:bookmarkStart w:id="711" w:name="_Toc312678041"/>
      <w:bookmarkStart w:id="712" w:name="_Toc303539160"/>
      <w:bookmarkStart w:id="713" w:name="_Toc304295580"/>
      <w:r>
        <w:rPr>
          <w:color w:val="auto"/>
          <w:sz w:val="24"/>
          <w:szCs w:val="24"/>
          <w:highlight w:val="none"/>
        </w:rPr>
        <w:t>12.1 合</w:t>
      </w:r>
      <w:bookmarkEnd w:id="697"/>
      <w:bookmarkEnd w:id="698"/>
      <w:bookmarkEnd w:id="699"/>
      <w:r>
        <w:rPr>
          <w:color w:val="auto"/>
          <w:sz w:val="24"/>
          <w:szCs w:val="24"/>
          <w:highlight w:val="none"/>
        </w:rPr>
        <w:t>同价</w:t>
      </w:r>
      <w:bookmarkEnd w:id="700"/>
      <w:bookmarkEnd w:id="701"/>
      <w:bookmarkEnd w:id="702"/>
      <w:bookmarkEnd w:id="703"/>
      <w:bookmarkEnd w:id="704"/>
      <w:bookmarkEnd w:id="705"/>
      <w:bookmarkEnd w:id="706"/>
      <w:bookmarkEnd w:id="707"/>
      <w:r>
        <w:rPr>
          <w:color w:val="auto"/>
          <w:sz w:val="24"/>
          <w:szCs w:val="24"/>
          <w:highlight w:val="none"/>
        </w:rPr>
        <w:t>格形式</w:t>
      </w:r>
    </w:p>
    <w:bookmarkEnd w:id="708"/>
    <w:bookmarkEnd w:id="709"/>
    <w:bookmarkEnd w:id="710"/>
    <w:bookmarkEnd w:id="711"/>
    <w:bookmarkEnd w:id="712"/>
    <w:bookmarkEnd w:id="713"/>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1、单价合同。</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综合单价包含的风险范围：</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风险费用的计算方法：</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风险范围以外合同价格的调整方法：</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2、总价合同。</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总价包含的风险范围：</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风险费用的计算方法：</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风险范围以外合同价格的调整方法：</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3、其他价格方式：</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bookmarkStart w:id="714" w:name="_Toc304295581"/>
      <w:bookmarkStart w:id="715" w:name="_Toc297123554"/>
      <w:bookmarkStart w:id="716" w:name="_Toc303539161"/>
      <w:bookmarkStart w:id="717" w:name="_Toc312678042"/>
      <w:bookmarkStart w:id="718" w:name="_Toc297216213"/>
      <w:bookmarkStart w:id="719" w:name="_Toc300935004"/>
      <w:bookmarkStart w:id="720" w:name="_Toc296347206"/>
      <w:bookmarkStart w:id="721" w:name="_Toc292559412"/>
      <w:bookmarkStart w:id="722" w:name="_Toc296944546"/>
      <w:bookmarkStart w:id="723" w:name="_Toc296346708"/>
      <w:bookmarkStart w:id="724" w:name="_Toc296503207"/>
      <w:bookmarkStart w:id="725" w:name="_Toc296891247"/>
      <w:bookmarkStart w:id="726" w:name="_Toc297048393"/>
      <w:bookmarkStart w:id="727" w:name="_Toc292559917"/>
      <w:bookmarkStart w:id="728" w:name="_Toc296891035"/>
      <w:bookmarkStart w:id="729" w:name="_Toc297120507"/>
      <w:r>
        <w:rPr>
          <w:color w:val="auto"/>
          <w:sz w:val="24"/>
          <w:szCs w:val="24"/>
          <w:highlight w:val="none"/>
        </w:rPr>
        <w:t>12.2 预付款</w:t>
      </w:r>
    </w:p>
    <w:bookmarkEnd w:id="714"/>
    <w:bookmarkEnd w:id="715"/>
    <w:bookmarkEnd w:id="716"/>
    <w:bookmarkEnd w:id="717"/>
    <w:bookmarkEnd w:id="718"/>
    <w:bookmarkEnd w:id="719"/>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12.2.1 预付款的支付</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预付款支付比例或金额：</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预付款支付期限：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预付款扣回的方式：</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12.2.2 预付款担保</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承包人提交预付款担保的期限：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预付款担保的形式为：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720"/>
    <w:bookmarkEnd w:id="721"/>
    <w:bookmarkEnd w:id="722"/>
    <w:bookmarkEnd w:id="723"/>
    <w:bookmarkEnd w:id="724"/>
    <w:bookmarkEnd w:id="725"/>
    <w:bookmarkEnd w:id="726"/>
    <w:bookmarkEnd w:id="727"/>
    <w:bookmarkEnd w:id="728"/>
    <w:bookmarkEnd w:id="729"/>
    <w:p>
      <w:pPr>
        <w:pStyle w:val="11"/>
        <w:rPr>
          <w:color w:val="auto"/>
          <w:sz w:val="24"/>
          <w:szCs w:val="24"/>
          <w:highlight w:val="none"/>
        </w:rPr>
      </w:pPr>
      <w:r>
        <w:rPr>
          <w:color w:val="auto"/>
          <w:sz w:val="24"/>
          <w:szCs w:val="24"/>
          <w:highlight w:val="none"/>
        </w:rPr>
        <w:t>12.3 计量</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12.3.1 计量原则</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工程量计算规则：</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12.3.2 计量周期</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关于计量周期的约定：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12.3.3 单价合同的计量</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关于单价合同计量的约定：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12.3.4 总价合同的计量</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关于总价合同计量的约定：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12.3.5总价合同采用支付分解表计量支付的，是否适用第</w:t>
      </w:r>
      <w:r>
        <w:rPr>
          <w:rFonts w:ascii="Times New Roman" w:hAnsi="Times New Roman" w:eastAsia="仿宋_GB2312"/>
          <w:color w:val="auto"/>
          <w:kern w:val="0"/>
          <w:sz w:val="24"/>
          <w:szCs w:val="24"/>
          <w:highlight w:val="none"/>
        </w:rPr>
        <w:t xml:space="preserve">12.3.4 </w:t>
      </w:r>
      <w:r>
        <w:rPr>
          <w:rFonts w:ascii="Times New Roman" w:hAnsi="Times New Roman" w:eastAsia="仿宋_GB2312"/>
          <w:color w:val="auto"/>
          <w:sz w:val="24"/>
          <w:szCs w:val="24"/>
          <w:highlight w:val="none"/>
        </w:rPr>
        <w:t>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总价合同的计量</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sz w:val="24"/>
          <w:szCs w:val="24"/>
          <w:highlight w:val="none"/>
        </w:rPr>
        <w:t>约定</w:t>
      </w:r>
      <w:r>
        <w:rPr>
          <w:rFonts w:hint="eastAsia" w:ascii="Times New Roman" w:hAnsi="Times New Roman" w:eastAsia="仿宋_GB2312"/>
          <w:color w:val="auto"/>
          <w:sz w:val="24"/>
          <w:szCs w:val="24"/>
          <w:highlight w:val="none"/>
        </w:rPr>
        <w:t>进行计量：</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12.3.6 其他价格形式合同的计量</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其他价格形式的计量方式和程序：</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12.4 工程进度款支付</w:t>
      </w:r>
    </w:p>
    <w:p>
      <w:pPr>
        <w:spacing w:line="360" w:lineRule="auto"/>
        <w:ind w:firstLine="480" w:firstLineChars="200"/>
        <w:jc w:val="left"/>
        <w:rPr>
          <w:rFonts w:ascii="Times New Roman" w:hAnsi="Times New Roman" w:eastAsia="仿宋_GB2312"/>
          <w:color w:val="auto"/>
          <w:sz w:val="24"/>
          <w:szCs w:val="24"/>
          <w:highlight w:val="none"/>
        </w:rPr>
      </w:pPr>
      <w:bookmarkStart w:id="730" w:name="_Toc292559921"/>
      <w:bookmarkStart w:id="731" w:name="_Toc296346712"/>
      <w:bookmarkStart w:id="732" w:name="_Toc297120511"/>
      <w:bookmarkStart w:id="733" w:name="_Toc303539163"/>
      <w:bookmarkStart w:id="734" w:name="_Toc296503211"/>
      <w:bookmarkStart w:id="735" w:name="_Toc297123556"/>
      <w:bookmarkStart w:id="736" w:name="_Toc296944550"/>
      <w:bookmarkStart w:id="737" w:name="_Toc296891251"/>
      <w:bookmarkStart w:id="738" w:name="_Toc296891039"/>
      <w:bookmarkStart w:id="739" w:name="_Toc297216215"/>
      <w:bookmarkStart w:id="740" w:name="_Toc300935006"/>
      <w:bookmarkStart w:id="741" w:name="_Toc292559416"/>
      <w:bookmarkStart w:id="742" w:name="_Toc297048397"/>
      <w:bookmarkStart w:id="743" w:name="_Toc296347210"/>
      <w:r>
        <w:rPr>
          <w:rFonts w:ascii="Times New Roman" w:hAnsi="Times New Roman" w:eastAsia="仿宋_GB2312"/>
          <w:color w:val="auto"/>
          <w:sz w:val="24"/>
          <w:szCs w:val="24"/>
          <w:highlight w:val="none"/>
        </w:rPr>
        <w:t>12.4.1 付款周期</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关于付款周期的约定：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12.4.2 进度付款申请单的编制</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关于进度付款申请单编制的约定：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rPr>
          <w:rFonts w:ascii="Times New Roman" w:hAnsi="Times New Roman" w:eastAsia="仿宋_GB2312"/>
          <w:color w:val="auto"/>
          <w:sz w:val="24"/>
          <w:szCs w:val="24"/>
          <w:highlight w:val="none"/>
        </w:rPr>
        <w:t>2.4.3 进度付款申请单的提交</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（1）单价合同进度付款申请单提交的约定</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（2）总价合同进度付款申请单提交的约定</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（3）其他价格形式合同进度付款申请单提交的约定：</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12.4.4 进度款审核和支付</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（1）监理人审查并报送发包人的期限：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发包人完成审批并签发进度款支付证书的期限：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（2）发包人支付进度款的期限：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600" w:firstLineChars="25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发包人逾期支付进度款的违约金的计算方式：</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p>
    <w:p>
      <w:pPr>
        <w:spacing w:line="360" w:lineRule="auto"/>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600" w:firstLineChars="25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12.4.6 支付分解表的编制</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2、总价合同支付分解表的编制与审批：</w:t>
      </w:r>
      <w:r>
        <w:rPr>
          <w:rFonts w:ascii="Times New Roman" w:hAnsi="Times New Roman" w:eastAsia="仿宋_GB2312"/>
          <w:color w:val="auto"/>
          <w:sz w:val="24"/>
          <w:szCs w:val="24"/>
          <w:highlight w:val="none"/>
          <w:u w:val="single"/>
        </w:rPr>
        <w:t xml:space="preserve">                  </w:t>
      </w:r>
    </w:p>
    <w:p>
      <w:pPr>
        <w:spacing w:line="360" w:lineRule="auto"/>
        <w:ind w:left="6000" w:hanging="4800" w:hangingChars="20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3、单价合同的总价项目支付分解表的编制与审批：</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573"/>
    <w:p>
      <w:pPr>
        <w:pStyle w:val="10"/>
        <w:rPr>
          <w:color w:val="auto"/>
          <w:sz w:val="24"/>
          <w:szCs w:val="24"/>
          <w:highlight w:val="none"/>
        </w:rPr>
      </w:pPr>
      <w:bookmarkStart w:id="744" w:name="_Toc351203645"/>
      <w:bookmarkStart w:id="745" w:name="_Toc296891047"/>
      <w:bookmarkStart w:id="746" w:name="_Toc297120519"/>
      <w:bookmarkStart w:id="747" w:name="_Toc297216223"/>
      <w:bookmarkStart w:id="748" w:name="_Toc300935015"/>
      <w:bookmarkStart w:id="749" w:name="_Toc297123564"/>
      <w:bookmarkStart w:id="750" w:name="_Toc292559929"/>
      <w:bookmarkStart w:id="751" w:name="_Toc304295593"/>
      <w:bookmarkStart w:id="752" w:name="_Toc297048405"/>
      <w:bookmarkStart w:id="753" w:name="_Toc296891259"/>
      <w:bookmarkStart w:id="754" w:name="_Toc296944558"/>
      <w:bookmarkStart w:id="755" w:name="_Toc296347218"/>
      <w:bookmarkStart w:id="756" w:name="_Toc296503219"/>
      <w:bookmarkStart w:id="757" w:name="_Toc292559424"/>
      <w:bookmarkStart w:id="758" w:name="_Toc296346720"/>
      <w:bookmarkStart w:id="759" w:name="_Toc312678053"/>
      <w:bookmarkStart w:id="760" w:name="_Toc303539172"/>
      <w:r>
        <w:rPr>
          <w:color w:val="auto"/>
          <w:sz w:val="24"/>
          <w:szCs w:val="24"/>
          <w:highlight w:val="none"/>
        </w:rPr>
        <w:t>13.</w:t>
      </w:r>
      <w:r>
        <w:rPr>
          <w:rFonts w:hint="eastAsia"/>
          <w:color w:val="auto"/>
          <w:sz w:val="24"/>
          <w:szCs w:val="24"/>
          <w:highlight w:val="none"/>
        </w:rPr>
        <w:t xml:space="preserve"> </w:t>
      </w:r>
      <w:r>
        <w:rPr>
          <w:color w:val="auto"/>
          <w:sz w:val="24"/>
          <w:szCs w:val="24"/>
          <w:highlight w:val="none"/>
        </w:rPr>
        <w:t>验收和工程试车</w:t>
      </w:r>
      <w:bookmarkEnd w:id="744"/>
    </w:p>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Pr>
        <w:pStyle w:val="11"/>
        <w:rPr>
          <w:color w:val="auto"/>
          <w:sz w:val="24"/>
          <w:szCs w:val="24"/>
          <w:highlight w:val="none"/>
        </w:rPr>
      </w:pPr>
      <w:r>
        <w:rPr>
          <w:color w:val="auto"/>
          <w:sz w:val="24"/>
          <w:szCs w:val="24"/>
          <w:highlight w:val="none"/>
        </w:rPr>
        <w:t>13.1 分部分项工程验收</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13.1.2监理人不能按时进行验收时，应提前</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小时提交书面延期要求。</w:t>
      </w:r>
    </w:p>
    <w:p>
      <w:pPr>
        <w:spacing w:line="360" w:lineRule="auto"/>
        <w:ind w:firstLine="480" w:firstLineChars="200"/>
        <w:jc w:val="left"/>
        <w:rPr>
          <w:rFonts w:ascii="Times New Roman" w:hAnsi="Times New Roman" w:eastAsia="仿宋_GB2312"/>
          <w:b/>
          <w:color w:val="auto"/>
          <w:sz w:val="24"/>
          <w:szCs w:val="24"/>
          <w:highlight w:val="none"/>
        </w:rPr>
      </w:pPr>
      <w:r>
        <w:rPr>
          <w:rFonts w:ascii="Times New Roman" w:hAnsi="Times New Roman" w:eastAsia="仿宋_GB2312"/>
          <w:color w:val="auto"/>
          <w:sz w:val="24"/>
          <w:szCs w:val="24"/>
          <w:highlight w:val="none"/>
        </w:rPr>
        <w:t>关于延期最长不得超过：</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小时。</w:t>
      </w:r>
    </w:p>
    <w:p>
      <w:pPr>
        <w:pStyle w:val="11"/>
        <w:rPr>
          <w:color w:val="auto"/>
          <w:sz w:val="24"/>
          <w:szCs w:val="24"/>
          <w:highlight w:val="none"/>
        </w:rPr>
      </w:pPr>
      <w:bookmarkStart w:id="761" w:name="_Toc297216224"/>
      <w:bookmarkStart w:id="762" w:name="_Toc296944562"/>
      <w:bookmarkStart w:id="763" w:name="_Toc304295596"/>
      <w:bookmarkStart w:id="764" w:name="_Toc296503223"/>
      <w:bookmarkStart w:id="765" w:name="_Toc292559428"/>
      <w:bookmarkStart w:id="766" w:name="_Toc296346724"/>
      <w:bookmarkStart w:id="767" w:name="_Toc297120523"/>
      <w:bookmarkStart w:id="768" w:name="_Toc297123565"/>
      <w:bookmarkStart w:id="769" w:name="_Toc297048409"/>
      <w:bookmarkStart w:id="770" w:name="_Toc312678056"/>
      <w:bookmarkStart w:id="771" w:name="_Toc296347222"/>
      <w:bookmarkStart w:id="772" w:name="_Toc292559933"/>
      <w:bookmarkStart w:id="773" w:name="_Toc296891263"/>
      <w:bookmarkStart w:id="774" w:name="_Toc296891051"/>
      <w:bookmarkStart w:id="775" w:name="_Toc300935016"/>
      <w:bookmarkStart w:id="776" w:name="_Toc303539173"/>
      <w:bookmarkStart w:id="777" w:name="_Toc267251476"/>
      <w:bookmarkStart w:id="778" w:name="_Toc267251474"/>
      <w:bookmarkStart w:id="779" w:name="_Toc267251475"/>
      <w:bookmarkStart w:id="780" w:name="_Toc267251470"/>
      <w:bookmarkStart w:id="781" w:name="_Toc267251472"/>
      <w:bookmarkStart w:id="782" w:name="_Toc267251473"/>
      <w:bookmarkStart w:id="783" w:name="_Toc267251471"/>
      <w:r>
        <w:rPr>
          <w:color w:val="auto"/>
          <w:sz w:val="24"/>
          <w:szCs w:val="24"/>
          <w:highlight w:val="none"/>
        </w:rPr>
        <w:t>13.2 竣工验收</w:t>
      </w:r>
    </w:p>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pPr>
        <w:spacing w:line="360" w:lineRule="auto"/>
        <w:ind w:firstLine="480" w:firstLineChars="200"/>
        <w:jc w:val="left"/>
        <w:rPr>
          <w:rFonts w:ascii="Times New Roman" w:hAnsi="Times New Roman" w:eastAsia="仿宋_GB2312"/>
          <w:color w:val="auto"/>
          <w:sz w:val="24"/>
          <w:szCs w:val="24"/>
          <w:highlight w:val="none"/>
        </w:rPr>
      </w:pPr>
      <w:bookmarkStart w:id="784" w:name="_Toc280868704"/>
      <w:bookmarkStart w:id="785" w:name="_Toc280868705"/>
      <w:bookmarkStart w:id="786" w:name="_Toc280868706"/>
      <w:bookmarkStart w:id="787" w:name="_Toc280868707"/>
      <w:bookmarkStart w:id="788" w:name="_Toc280868708"/>
      <w:bookmarkStart w:id="789" w:name="_Toc280868709"/>
      <w:r>
        <w:rPr>
          <w:rFonts w:ascii="Times New Roman" w:hAnsi="Times New Roman" w:eastAsia="仿宋_GB2312"/>
          <w:color w:val="auto"/>
          <w:sz w:val="24"/>
          <w:szCs w:val="24"/>
          <w:highlight w:val="none"/>
        </w:rPr>
        <w:t>13.2.2竣工验收程序</w:t>
      </w:r>
    </w:p>
    <w:bookmarkEnd w:id="784"/>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kern w:val="0"/>
          <w:sz w:val="24"/>
          <w:szCs w:val="24"/>
          <w:highlight w:val="none"/>
        </w:rPr>
        <w:t>关于竣工验收程序的约定：</w:t>
      </w:r>
      <w:r>
        <w:rPr>
          <w:rFonts w:ascii="Times New Roman" w:hAnsi="Times New Roman" w:eastAsia="仿宋_GB2312"/>
          <w:color w:val="auto"/>
          <w:sz w:val="24"/>
          <w:szCs w:val="24"/>
          <w:highlight w:val="none"/>
          <w:u w:val="single"/>
        </w:rPr>
        <w:t xml:space="preserve">                              </w:t>
      </w:r>
    </w:p>
    <w:p>
      <w:pPr>
        <w:spacing w:line="360" w:lineRule="auto"/>
        <w:ind w:left="6000" w:hanging="4800" w:hangingChars="20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kern w:val="0"/>
          <w:sz w:val="24"/>
          <w:szCs w:val="24"/>
          <w:highlight w:val="none"/>
        </w:rPr>
        <w:t>发包人不按照本项约定组织竣工验收、颁发工程接收证书的违约金的计算方法：</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785"/>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13.2.5移交、接收全部与部分工程</w:t>
      </w:r>
    </w:p>
    <w:bookmarkEnd w:id="786"/>
    <w:p>
      <w:pPr>
        <w:spacing w:line="360" w:lineRule="auto"/>
        <w:ind w:firstLine="480" w:firstLineChars="200"/>
        <w:jc w:val="left"/>
        <w:rPr>
          <w:rFonts w:hint="eastAsia" w:ascii="Times New Roman" w:hAnsi="Times New Roman" w:eastAsia="仿宋_GB2312"/>
          <w:color w:val="auto"/>
          <w:kern w:val="0"/>
          <w:sz w:val="24"/>
          <w:szCs w:val="24"/>
          <w:highlight w:val="none"/>
        </w:rPr>
      </w:pPr>
      <w:r>
        <w:rPr>
          <w:rFonts w:hint="eastAsia" w:ascii="Times New Roman" w:hAnsi="Times New Roman" w:eastAsia="仿宋_GB2312"/>
          <w:color w:val="auto"/>
          <w:kern w:val="0"/>
          <w:sz w:val="24"/>
          <w:szCs w:val="24"/>
          <w:highlight w:val="none"/>
        </w:rPr>
        <w:t>承包人向发包人移交工程的期限：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kern w:val="0"/>
          <w:sz w:val="24"/>
          <w:szCs w:val="24"/>
          <w:highlight w:val="none"/>
        </w:rPr>
        <w:t>发包人未按本合同约定接收全部或部分工程的，违约金的计算方法为：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787"/>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承包人未按时移交工程的，违约金的计算方法为：</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13.3 工程试车</w:t>
      </w:r>
    </w:p>
    <w:bookmarkEnd w:id="788"/>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13.3.1 试车程序</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kern w:val="0"/>
          <w:sz w:val="24"/>
          <w:szCs w:val="24"/>
          <w:highlight w:val="none"/>
        </w:rPr>
        <w:t>工程试车内容：</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kern w:val="0"/>
          <w:sz w:val="24"/>
          <w:szCs w:val="24"/>
          <w:highlight w:val="none"/>
        </w:rPr>
      </w:pP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（1）单机无负荷试车费用由</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kern w:val="0"/>
          <w:sz w:val="24"/>
          <w:szCs w:val="24"/>
          <w:highlight w:val="none"/>
        </w:rPr>
        <w:t>承担；</w:t>
      </w:r>
    </w:p>
    <w:p>
      <w:pPr>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（2）无负荷联动试车费用由</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kern w:val="0"/>
          <w:sz w:val="24"/>
          <w:szCs w:val="24"/>
          <w:highlight w:val="none"/>
        </w:rPr>
        <w:t>承担。</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13.3.3 投料试车</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hint="eastAsia" w:ascii="Times New Roman" w:hAnsi="Times New Roman" w:eastAsia="仿宋_GB2312"/>
          <w:color w:val="auto"/>
          <w:kern w:val="0"/>
          <w:sz w:val="24"/>
          <w:szCs w:val="24"/>
          <w:highlight w:val="none"/>
        </w:rPr>
        <w:t>关于投料试车相关事项的约定：</w:t>
      </w:r>
      <w:r>
        <w:rPr>
          <w:rFonts w:hint="eastAsia"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kern w:val="0"/>
          <w:sz w:val="24"/>
          <w:szCs w:val="24"/>
          <w:highlight w:val="none"/>
        </w:rPr>
      </w:pP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13.6 竣工退场</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13.6.1 竣工退场</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承包人完成竣工退场的期限：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kern w:val="0"/>
          <w:sz w:val="24"/>
          <w:szCs w:val="24"/>
          <w:highlight w:val="none"/>
        </w:rPr>
        <w:t>。</w:t>
      </w:r>
    </w:p>
    <w:p>
      <w:pPr>
        <w:pStyle w:val="10"/>
        <w:rPr>
          <w:color w:val="auto"/>
          <w:sz w:val="24"/>
          <w:szCs w:val="24"/>
          <w:highlight w:val="none"/>
        </w:rPr>
      </w:pPr>
      <w:bookmarkStart w:id="790" w:name="_Toc351203646"/>
      <w:r>
        <w:rPr>
          <w:color w:val="auto"/>
          <w:sz w:val="24"/>
          <w:szCs w:val="24"/>
          <w:highlight w:val="none"/>
        </w:rPr>
        <w:t>14. 竣工结算</w:t>
      </w:r>
      <w:bookmarkEnd w:id="790"/>
    </w:p>
    <w:p>
      <w:pPr>
        <w:pStyle w:val="11"/>
        <w:rPr>
          <w:color w:val="auto"/>
          <w:sz w:val="24"/>
          <w:szCs w:val="24"/>
          <w:highlight w:val="none"/>
        </w:rPr>
      </w:pPr>
      <w:r>
        <w:rPr>
          <w:color w:val="auto"/>
          <w:sz w:val="24"/>
          <w:szCs w:val="24"/>
          <w:highlight w:val="none"/>
        </w:rPr>
        <w:t>14.1 竣工</w:t>
      </w:r>
      <w:r>
        <w:rPr>
          <w:rFonts w:hint="eastAsia"/>
          <w:color w:val="auto"/>
          <w:sz w:val="24"/>
          <w:szCs w:val="24"/>
          <w:highlight w:val="none"/>
        </w:rPr>
        <w:t>结算</w:t>
      </w:r>
      <w:r>
        <w:rPr>
          <w:color w:val="auto"/>
          <w:sz w:val="24"/>
          <w:szCs w:val="24"/>
          <w:highlight w:val="none"/>
        </w:rPr>
        <w:t>申请</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承包人提交竣工</w:t>
      </w:r>
      <w:r>
        <w:rPr>
          <w:rFonts w:hint="eastAsia" w:ascii="Times New Roman" w:hAnsi="Times New Roman" w:eastAsia="仿宋_GB2312"/>
          <w:color w:val="auto"/>
          <w:sz w:val="24"/>
          <w:szCs w:val="24"/>
          <w:highlight w:val="none"/>
        </w:rPr>
        <w:t>结算</w:t>
      </w:r>
      <w:r>
        <w:rPr>
          <w:rFonts w:ascii="Times New Roman" w:hAnsi="Times New Roman" w:eastAsia="仿宋_GB2312"/>
          <w:color w:val="auto"/>
          <w:sz w:val="24"/>
          <w:szCs w:val="24"/>
          <w:highlight w:val="none"/>
        </w:rPr>
        <w:t>申请单的期限：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竣工</w:t>
      </w:r>
      <w:r>
        <w:rPr>
          <w:rFonts w:hint="eastAsia" w:ascii="Times New Roman" w:hAnsi="Times New Roman" w:eastAsia="仿宋_GB2312"/>
          <w:color w:val="auto"/>
          <w:sz w:val="24"/>
          <w:szCs w:val="24"/>
          <w:highlight w:val="none"/>
        </w:rPr>
        <w:t>结算</w:t>
      </w:r>
      <w:r>
        <w:rPr>
          <w:rFonts w:ascii="Times New Roman" w:hAnsi="Times New Roman" w:eastAsia="仿宋_GB2312"/>
          <w:color w:val="auto"/>
          <w:sz w:val="24"/>
          <w:szCs w:val="24"/>
          <w:highlight w:val="none"/>
        </w:rPr>
        <w:t>申请单应包括的内容：</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14.2 竣工结算审核</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w:t>
      </w:r>
      <w:r>
        <w:rPr>
          <w:rFonts w:hint="eastAsia" w:ascii="Times New Roman" w:hAnsi="Times New Roman" w:eastAsia="仿宋_GB2312"/>
          <w:color w:val="auto"/>
          <w:sz w:val="24"/>
          <w:szCs w:val="24"/>
          <w:highlight w:val="none"/>
        </w:rPr>
        <w:t>审批</w:t>
      </w:r>
      <w:r>
        <w:rPr>
          <w:rFonts w:ascii="Times New Roman" w:hAnsi="Times New Roman" w:eastAsia="仿宋_GB2312"/>
          <w:color w:val="auto"/>
          <w:sz w:val="24"/>
          <w:szCs w:val="24"/>
          <w:highlight w:val="none"/>
        </w:rPr>
        <w:t>竣工付款申请单的期限：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发包人完成竣工付款的期限：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hint="eastAsia" w:ascii="Times New Roman" w:hAnsi="Times New Roman" w:eastAsia="仿宋_GB2312"/>
          <w:color w:val="auto"/>
          <w:sz w:val="24"/>
          <w:szCs w:val="24"/>
          <w:highlight w:val="none"/>
        </w:rPr>
        <w:t>关于竣工付款证书异议部分复核的方式和程序：</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14.4 最终结清</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14.4.1 最终结清申请单</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承包人提交最终结清申请单的份数：</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kern w:val="0"/>
          <w:sz w:val="24"/>
          <w:szCs w:val="24"/>
          <w:highlight w:val="none"/>
        </w:rPr>
        <w:t>承包人提交最终结算申请单的期限：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14.4.2 最终结清证书和支付</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（1）发包人完成最终结清申请单的</w:t>
      </w:r>
      <w:r>
        <w:rPr>
          <w:rFonts w:hint="eastAsia" w:ascii="Times New Roman" w:hAnsi="Times New Roman" w:eastAsia="仿宋_GB2312"/>
          <w:color w:val="auto"/>
          <w:sz w:val="24"/>
          <w:szCs w:val="24"/>
          <w:highlight w:val="none"/>
        </w:rPr>
        <w:t>审批</w:t>
      </w:r>
      <w:r>
        <w:rPr>
          <w:rFonts w:ascii="Times New Roman" w:hAnsi="Times New Roman" w:eastAsia="仿宋_GB2312"/>
          <w:color w:val="auto"/>
          <w:sz w:val="24"/>
          <w:szCs w:val="24"/>
          <w:highlight w:val="none"/>
        </w:rPr>
        <w:t>并颁发最终结清证书的期限：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（2）发包人完成支付的期限：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777"/>
    <w:bookmarkEnd w:id="778"/>
    <w:bookmarkEnd w:id="779"/>
    <w:bookmarkEnd w:id="780"/>
    <w:bookmarkEnd w:id="781"/>
    <w:bookmarkEnd w:id="782"/>
    <w:bookmarkEnd w:id="783"/>
    <w:bookmarkEnd w:id="789"/>
    <w:p>
      <w:pPr>
        <w:pStyle w:val="10"/>
        <w:rPr>
          <w:color w:val="auto"/>
          <w:sz w:val="24"/>
          <w:szCs w:val="24"/>
          <w:highlight w:val="none"/>
        </w:rPr>
      </w:pPr>
      <w:bookmarkStart w:id="791" w:name="_Toc351203647"/>
      <w:bookmarkStart w:id="792" w:name="_Toc267251483"/>
      <w:bookmarkStart w:id="793" w:name="_Toc267251484"/>
      <w:bookmarkStart w:id="794" w:name="_Toc267251482"/>
      <w:bookmarkStart w:id="795" w:name="_Toc267251485"/>
      <w:bookmarkStart w:id="796" w:name="_Toc267251489"/>
      <w:bookmarkStart w:id="797" w:name="_Toc267251486"/>
      <w:bookmarkStart w:id="798" w:name="_Toc267251490"/>
      <w:bookmarkStart w:id="799" w:name="_Toc267251488"/>
      <w:bookmarkStart w:id="800" w:name="_Toc267251503"/>
      <w:bookmarkStart w:id="801" w:name="_Toc267251502"/>
      <w:bookmarkStart w:id="802" w:name="_Toc267251498"/>
      <w:bookmarkStart w:id="803" w:name="_Toc267251501"/>
      <w:bookmarkStart w:id="804" w:name="_Toc267251499"/>
      <w:bookmarkStart w:id="805" w:name="_Toc267251496"/>
      <w:bookmarkStart w:id="806" w:name="_Toc267251497"/>
      <w:bookmarkStart w:id="807" w:name="_Toc267251492"/>
      <w:bookmarkStart w:id="808" w:name="_Toc267251493"/>
      <w:bookmarkStart w:id="809" w:name="_Toc267251491"/>
      <w:bookmarkStart w:id="810" w:name="_Toc267251494"/>
      <w:bookmarkStart w:id="811" w:name="_Toc267251495"/>
      <w:bookmarkStart w:id="812" w:name="_Toc267251504"/>
      <w:bookmarkStart w:id="813" w:name="_Toc267251506"/>
      <w:bookmarkStart w:id="814" w:name="_Toc267251507"/>
      <w:bookmarkStart w:id="815" w:name="_Toc267251508"/>
      <w:bookmarkStart w:id="816" w:name="_Toc267251511"/>
      <w:bookmarkStart w:id="817" w:name="_Toc267251510"/>
      <w:bookmarkStart w:id="818" w:name="_Toc267251514"/>
      <w:bookmarkStart w:id="819" w:name="_Toc267251513"/>
      <w:bookmarkStart w:id="820" w:name="_Toc267251509"/>
      <w:bookmarkStart w:id="821" w:name="_Toc267251515"/>
      <w:r>
        <w:rPr>
          <w:color w:val="auto"/>
          <w:sz w:val="24"/>
          <w:szCs w:val="24"/>
          <w:highlight w:val="none"/>
        </w:rPr>
        <w:t>15. 缺陷责任期与保修</w:t>
      </w:r>
      <w:bookmarkEnd w:id="791"/>
    </w:p>
    <w:p>
      <w:pPr>
        <w:pStyle w:val="11"/>
        <w:rPr>
          <w:color w:val="auto"/>
          <w:sz w:val="24"/>
          <w:szCs w:val="24"/>
          <w:highlight w:val="none"/>
        </w:rPr>
      </w:pPr>
      <w:r>
        <w:rPr>
          <w:color w:val="auto"/>
          <w:sz w:val="24"/>
          <w:szCs w:val="24"/>
          <w:highlight w:val="none"/>
        </w:rPr>
        <w:t>15.2缺陷责任期</w:t>
      </w:r>
      <w:bookmarkEnd w:id="792"/>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缺陷责任期的具体期限：</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15.3 质量保证金</w:t>
      </w:r>
    </w:p>
    <w:p>
      <w:pPr>
        <w:spacing w:line="360" w:lineRule="auto"/>
        <w:ind w:firstLine="480" w:firstLineChars="200"/>
        <w:jc w:val="left"/>
        <w:rPr>
          <w:rFonts w:eastAsia="仿宋_GB2312"/>
          <w:color w:val="auto"/>
          <w:sz w:val="24"/>
          <w:szCs w:val="24"/>
          <w:highlight w:val="none"/>
        </w:rPr>
      </w:pPr>
      <w:r>
        <w:rPr>
          <w:rFonts w:hint="eastAsia" w:ascii="Times New Roman" w:hAnsi="Times New Roman" w:eastAsia="仿宋_GB2312"/>
          <w:color w:val="auto"/>
          <w:sz w:val="24"/>
          <w:szCs w:val="24"/>
          <w:highlight w:val="none"/>
        </w:rPr>
        <w:t>关于是否扣留质量保证金的约定：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r>
        <w:rPr>
          <w:rFonts w:hint="eastAsia" w:eastAsia="仿宋_GB2312"/>
          <w:color w:val="auto"/>
          <w:sz w:val="24"/>
          <w:szCs w:val="24"/>
          <w:highlight w:val="none"/>
        </w:rPr>
        <w:t>在工程项目竣工前，承包人按专用合同条款第3.7条提供履约担保的，发包人不得同时预留工程质量保证金。</w:t>
      </w:r>
    </w:p>
    <w:p>
      <w:pPr>
        <w:spacing w:line="360" w:lineRule="auto"/>
        <w:ind w:firstLine="480" w:firstLineChars="200"/>
        <w:jc w:val="left"/>
        <w:rPr>
          <w:rFonts w:hint="eastAsia" w:ascii="Times New Roman" w:hAnsi="Times New Roman" w:eastAsia="仿宋_GB2312"/>
          <w:color w:val="auto"/>
          <w:sz w:val="24"/>
          <w:szCs w:val="24"/>
          <w:highlight w:val="none"/>
        </w:rPr>
      </w:pP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15.3.1 </w:t>
      </w:r>
      <w:r>
        <w:rPr>
          <w:rFonts w:hint="eastAsia" w:ascii="Times New Roman" w:hAnsi="Times New Roman" w:eastAsia="仿宋_GB2312"/>
          <w:color w:val="auto"/>
          <w:sz w:val="24"/>
          <w:szCs w:val="24"/>
          <w:highlight w:val="none"/>
        </w:rPr>
        <w:t>承包人提供</w:t>
      </w:r>
      <w:r>
        <w:rPr>
          <w:rFonts w:ascii="Times New Roman" w:hAnsi="Times New Roman" w:eastAsia="仿宋_GB2312"/>
          <w:color w:val="auto"/>
          <w:sz w:val="24"/>
          <w:szCs w:val="24"/>
          <w:highlight w:val="none"/>
        </w:rPr>
        <w:t>质量保证金的</w:t>
      </w:r>
      <w:r>
        <w:rPr>
          <w:rFonts w:hint="eastAsia" w:ascii="Times New Roman" w:hAnsi="Times New Roman" w:eastAsia="仿宋_GB2312"/>
          <w:color w:val="auto"/>
          <w:sz w:val="24"/>
          <w:szCs w:val="24"/>
          <w:highlight w:val="none"/>
        </w:rPr>
        <w:t>方</w:t>
      </w:r>
      <w:r>
        <w:rPr>
          <w:rFonts w:ascii="Times New Roman" w:hAnsi="Times New Roman" w:eastAsia="仿宋_GB2312"/>
          <w:color w:val="auto"/>
          <w:sz w:val="24"/>
          <w:szCs w:val="24"/>
          <w:highlight w:val="none"/>
        </w:rPr>
        <w:t>式</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质量保证金采用以下第</w:t>
      </w:r>
      <w:r>
        <w:rPr>
          <w:rFonts w:hint="eastAsia" w:eastAsia="仿宋_GB2312"/>
          <w:color w:val="auto"/>
          <w:sz w:val="24"/>
          <w:szCs w:val="24"/>
          <w:highlight w:val="none"/>
          <w:u w:val="single"/>
          <w:lang w:val="en-US" w:eastAsia="zh-CN"/>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种方式：</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（1）质量保证金保函，保证金额为：</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 xml:space="preserve">； </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w:t>
      </w:r>
      <w:r>
        <w:rPr>
          <w:rFonts w:ascii="Times New Roman" w:hAnsi="Times New Roman" w:eastAsia="仿宋_GB2312"/>
          <w:color w:val="auto"/>
          <w:kern w:val="0"/>
          <w:sz w:val="24"/>
          <w:szCs w:val="24"/>
          <w:highlight w:val="none"/>
          <w:u w:val="single"/>
        </w:rPr>
        <w:t xml:space="preserve">   </w:t>
      </w:r>
      <w:r>
        <w:rPr>
          <w:rFonts w:hint="eastAsia" w:eastAsia="仿宋_GB2312"/>
          <w:color w:val="auto"/>
          <w:kern w:val="0"/>
          <w:sz w:val="24"/>
          <w:szCs w:val="24"/>
          <w:highlight w:val="none"/>
          <w:u w:val="single"/>
          <w:lang w:val="en-US" w:eastAsia="zh-CN"/>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%的工程款；</w:t>
      </w:r>
    </w:p>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（3）其他</w:t>
      </w:r>
      <w:r>
        <w:rPr>
          <w:rFonts w:hint="eastAsia" w:ascii="Times New Roman" w:hAnsi="Times New Roman" w:eastAsia="仿宋_GB2312"/>
          <w:color w:val="auto"/>
          <w:kern w:val="0"/>
          <w:sz w:val="24"/>
          <w:szCs w:val="24"/>
          <w:highlight w:val="none"/>
        </w:rPr>
        <w:t>方</w:t>
      </w:r>
      <w:r>
        <w:rPr>
          <w:rFonts w:ascii="Times New Roman" w:hAnsi="Times New Roman" w:eastAsia="仿宋_GB2312"/>
          <w:color w:val="auto"/>
          <w:kern w:val="0"/>
          <w:sz w:val="24"/>
          <w:szCs w:val="24"/>
          <w:highlight w:val="none"/>
        </w:rPr>
        <w:t>式:</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15.3.2 质量保证金的扣留 </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质量保证金的扣留采取以下第</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种方式：</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（1）在支付工程进度款时逐次扣留，在此情形下，质量保证金的计算基数不包括预付款的支付、扣回以及价格调整的金额；</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（2）工程竣工结算时一次性扣留质量保证金；</w:t>
      </w:r>
    </w:p>
    <w:p>
      <w:pPr>
        <w:autoSpaceDE w:val="0"/>
        <w:autoSpaceDN w:val="0"/>
        <w:adjustRightInd w:val="0"/>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（3）其他扣留方式:</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hint="eastAsia" w:ascii="Times New Roman" w:hAnsi="Times New Roman" w:eastAsia="仿宋_GB2312"/>
          <w:color w:val="auto"/>
          <w:kern w:val="0"/>
          <w:sz w:val="24"/>
          <w:szCs w:val="24"/>
          <w:highlight w:val="none"/>
          <w:u w:val="single"/>
        </w:rPr>
      </w:pPr>
      <w:r>
        <w:rPr>
          <w:rFonts w:ascii="Times New Roman" w:hAnsi="Times New Roman" w:eastAsia="仿宋_GB2312"/>
          <w:color w:val="auto"/>
          <w:sz w:val="24"/>
          <w:szCs w:val="24"/>
          <w:highlight w:val="none"/>
        </w:rPr>
        <w:t>关于质量保证金的补充约定：</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bookmarkEnd w:id="793"/>
    <w:bookmarkEnd w:id="794"/>
    <w:p>
      <w:pPr>
        <w:pStyle w:val="11"/>
        <w:rPr>
          <w:color w:val="auto"/>
          <w:sz w:val="24"/>
          <w:szCs w:val="24"/>
          <w:highlight w:val="none"/>
        </w:rPr>
      </w:pPr>
      <w:r>
        <w:rPr>
          <w:color w:val="auto"/>
          <w:sz w:val="24"/>
          <w:szCs w:val="24"/>
          <w:highlight w:val="none"/>
        </w:rPr>
        <w:t>15.4保修</w:t>
      </w:r>
    </w:p>
    <w:bookmarkEnd w:id="795"/>
    <w:p>
      <w:pPr>
        <w:spacing w:line="360" w:lineRule="auto"/>
        <w:ind w:firstLine="468" w:firstLineChars="195"/>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15.4.1 保修责任</w:t>
      </w:r>
    </w:p>
    <w:p>
      <w:pPr>
        <w:spacing w:line="360" w:lineRule="auto"/>
        <w:ind w:firstLine="468" w:firstLineChars="195"/>
        <w:jc w:val="left"/>
        <w:rPr>
          <w:rFonts w:ascii="Times New Roman" w:hAnsi="Times New Roman" w:eastAsia="仿宋_GB2312"/>
          <w:color w:val="auto"/>
          <w:kern w:val="0"/>
          <w:sz w:val="24"/>
          <w:szCs w:val="24"/>
          <w:highlight w:val="none"/>
          <w:u w:val="single"/>
        </w:rPr>
      </w:pPr>
      <w:r>
        <w:rPr>
          <w:rFonts w:ascii="Times New Roman" w:hAnsi="Times New Roman" w:eastAsia="仿宋_GB2312"/>
          <w:color w:val="auto"/>
          <w:sz w:val="24"/>
          <w:szCs w:val="24"/>
          <w:highlight w:val="none"/>
        </w:rPr>
        <w:t>工程保修期为：</w:t>
      </w:r>
      <w:r>
        <w:rPr>
          <w:rFonts w:ascii="Times New Roman" w:hAnsi="Times New Roman" w:eastAsia="仿宋_GB2312"/>
          <w:color w:val="auto"/>
          <w:kern w:val="0"/>
          <w:sz w:val="24"/>
          <w:szCs w:val="24"/>
          <w:highlight w:val="none"/>
          <w:u w:val="single"/>
        </w:rPr>
        <w:t xml:space="preserve">                                        </w:t>
      </w:r>
    </w:p>
    <w:p>
      <w:pPr>
        <w:spacing w:line="360" w:lineRule="auto"/>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68" w:firstLineChars="195"/>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15.4.3 修复通知</w:t>
      </w:r>
    </w:p>
    <w:p>
      <w:pPr>
        <w:spacing w:line="360" w:lineRule="auto"/>
        <w:ind w:firstLine="468" w:firstLineChars="195"/>
        <w:jc w:val="left"/>
        <w:rPr>
          <w:rFonts w:ascii="Times New Roman" w:hAnsi="Times New Roman" w:eastAsia="仿宋_GB2312"/>
          <w:color w:val="auto"/>
          <w:kern w:val="0"/>
          <w:sz w:val="24"/>
          <w:szCs w:val="24"/>
          <w:highlight w:val="none"/>
          <w:u w:val="single"/>
        </w:rPr>
      </w:pPr>
      <w:r>
        <w:rPr>
          <w:rFonts w:ascii="Times New Roman" w:hAnsi="Times New Roman" w:eastAsia="仿宋_GB2312"/>
          <w:color w:val="auto"/>
          <w:kern w:val="0"/>
          <w:sz w:val="24"/>
          <w:szCs w:val="24"/>
          <w:highlight w:val="none"/>
        </w:rPr>
        <w:t>承包人收到保修通知并到达工程现场的合理时间：</w:t>
      </w:r>
      <w:r>
        <w:rPr>
          <w:rFonts w:ascii="Times New Roman" w:hAnsi="Times New Roman" w:eastAsia="仿宋_GB2312"/>
          <w:color w:val="auto"/>
          <w:kern w:val="0"/>
          <w:sz w:val="24"/>
          <w:szCs w:val="24"/>
          <w:highlight w:val="none"/>
          <w:u w:val="single"/>
        </w:rPr>
        <w:t xml:space="preserve">          </w:t>
      </w:r>
    </w:p>
    <w:p>
      <w:pPr>
        <w:spacing w:line="360" w:lineRule="auto"/>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bookmarkEnd w:id="796"/>
    <w:bookmarkEnd w:id="797"/>
    <w:bookmarkEnd w:id="798"/>
    <w:bookmarkEnd w:id="799"/>
    <w:p>
      <w:pPr>
        <w:pStyle w:val="10"/>
        <w:rPr>
          <w:color w:val="auto"/>
          <w:sz w:val="24"/>
          <w:szCs w:val="24"/>
          <w:highlight w:val="none"/>
        </w:rPr>
      </w:pPr>
      <w:bookmarkStart w:id="822" w:name="_Toc351203648"/>
      <w:bookmarkStart w:id="823" w:name="_Toc280868717"/>
      <w:bookmarkStart w:id="824" w:name="_Toc280868718"/>
      <w:r>
        <w:rPr>
          <w:color w:val="auto"/>
          <w:sz w:val="24"/>
          <w:szCs w:val="24"/>
          <w:highlight w:val="none"/>
        </w:rPr>
        <w:t>16. 违约</w:t>
      </w:r>
      <w:bookmarkEnd w:id="822"/>
    </w:p>
    <w:p>
      <w:pPr>
        <w:pStyle w:val="11"/>
        <w:rPr>
          <w:color w:val="auto"/>
          <w:sz w:val="24"/>
          <w:szCs w:val="24"/>
          <w:highlight w:val="none"/>
        </w:rPr>
      </w:pPr>
      <w:r>
        <w:rPr>
          <w:color w:val="auto"/>
          <w:sz w:val="24"/>
          <w:szCs w:val="24"/>
          <w:highlight w:val="none"/>
        </w:rPr>
        <w:t>16.1 发包人违约</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16.1.1发包人违约的情形</w:t>
      </w:r>
    </w:p>
    <w:p>
      <w:pPr>
        <w:spacing w:line="360" w:lineRule="auto"/>
        <w:ind w:firstLine="480" w:firstLineChars="200"/>
        <w:jc w:val="left"/>
        <w:rPr>
          <w:rFonts w:ascii="Times New Roman" w:hAnsi="Times New Roman" w:eastAsia="仿宋_GB2312"/>
          <w:color w:val="auto"/>
          <w:kern w:val="0"/>
          <w:sz w:val="24"/>
          <w:szCs w:val="24"/>
          <w:highlight w:val="none"/>
          <w:u w:val="single"/>
        </w:rPr>
      </w:pPr>
      <w:r>
        <w:rPr>
          <w:rFonts w:ascii="Times New Roman" w:hAnsi="Times New Roman" w:eastAsia="仿宋_GB2312"/>
          <w:color w:val="auto"/>
          <w:kern w:val="0"/>
          <w:sz w:val="24"/>
          <w:szCs w:val="24"/>
          <w:highlight w:val="none"/>
        </w:rPr>
        <w:t>发包人违约的其他情形：</w:t>
      </w:r>
      <w:r>
        <w:rPr>
          <w:rFonts w:ascii="Times New Roman" w:hAnsi="Times New Roman" w:eastAsia="仿宋_GB2312"/>
          <w:color w:val="auto"/>
          <w:kern w:val="0"/>
          <w:sz w:val="24"/>
          <w:szCs w:val="24"/>
          <w:highlight w:val="none"/>
          <w:u w:val="single"/>
        </w:rPr>
        <w:t xml:space="preserve">                                </w:t>
      </w:r>
    </w:p>
    <w:p>
      <w:pPr>
        <w:spacing w:line="360" w:lineRule="auto"/>
        <w:ind w:left="1500" w:hanging="1200" w:hangingChars="5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left="1500" w:hanging="1200" w:hangingChars="5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    16.1.2 发包人违约的责任</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发包人违约责任的承担方式和计算方法：</w:t>
      </w:r>
    </w:p>
    <w:p>
      <w:pPr>
        <w:spacing w:line="360" w:lineRule="auto"/>
        <w:ind w:firstLine="480" w:firstLineChars="200"/>
        <w:jc w:val="left"/>
        <w:rPr>
          <w:rFonts w:ascii="Times New Roman" w:hAnsi="Times New Roman" w:eastAsia="仿宋_GB2312"/>
          <w:color w:val="auto"/>
          <w:kern w:val="0"/>
          <w:sz w:val="24"/>
          <w:szCs w:val="24"/>
          <w:highlight w:val="none"/>
          <w:u w:val="single"/>
        </w:rPr>
      </w:pPr>
      <w:r>
        <w:rPr>
          <w:rFonts w:ascii="Times New Roman" w:hAnsi="Times New Roman" w:eastAsia="仿宋_GB2312"/>
          <w:color w:val="auto"/>
          <w:kern w:val="0"/>
          <w:sz w:val="24"/>
          <w:szCs w:val="24"/>
          <w:highlight w:val="none"/>
        </w:rPr>
        <w:t>（1）因发包人原因未能在计划开工日期前7天内下达开工通知的违约责任：</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（2）因发包人原因未能按合同约定支付合同价款的违约责任：</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hint="eastAsia" w:ascii="Times New Roman" w:hAnsi="Times New Roman" w:eastAsia="仿宋_GB2312"/>
          <w:color w:val="auto"/>
          <w:kern w:val="0"/>
          <w:sz w:val="24"/>
          <w:szCs w:val="24"/>
          <w:highlight w:val="none"/>
          <w:u w:val="single"/>
        </w:rPr>
      </w:pPr>
      <w:r>
        <w:rPr>
          <w:rFonts w:ascii="Times New Roman" w:hAnsi="Times New Roman" w:eastAsia="仿宋_GB2312"/>
          <w:color w:val="auto"/>
          <w:kern w:val="0"/>
          <w:sz w:val="24"/>
          <w:szCs w:val="24"/>
          <w:highlight w:val="none"/>
        </w:rPr>
        <w:t>（3）发包人违反第10.1款</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变更的范围</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第（2）项约定，自行实施被取消的工作或转由他人实施的违约责任：</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p>
    <w:p>
      <w:pPr>
        <w:spacing w:line="360" w:lineRule="auto"/>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（4）发包人提供的材料、工程设备的规格、数量或质量不符合合同约定，或因发包人原因导致交货日期延误或交货地点变更等情况的违约责任：</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ascii="Times New Roman" w:hAnsi="Times New Roman" w:eastAsia="仿宋_GB2312"/>
          <w:color w:val="auto"/>
          <w:kern w:val="0"/>
          <w:sz w:val="24"/>
          <w:szCs w:val="24"/>
          <w:highlight w:val="none"/>
          <w:u w:val="single"/>
        </w:rPr>
      </w:pPr>
      <w:r>
        <w:rPr>
          <w:rFonts w:ascii="Times New Roman" w:hAnsi="Times New Roman" w:eastAsia="仿宋_GB2312"/>
          <w:color w:val="auto"/>
          <w:kern w:val="0"/>
          <w:sz w:val="24"/>
          <w:szCs w:val="24"/>
          <w:highlight w:val="none"/>
        </w:rPr>
        <w:t>（5）因发包人违反合同约定造成暂停施工的违约责任：</w:t>
      </w:r>
      <w:r>
        <w:rPr>
          <w:rFonts w:ascii="Times New Roman" w:hAnsi="Times New Roman" w:eastAsia="仿宋_GB2312"/>
          <w:color w:val="auto"/>
          <w:kern w:val="0"/>
          <w:sz w:val="24"/>
          <w:szCs w:val="24"/>
          <w:highlight w:val="none"/>
          <w:u w:val="single"/>
        </w:rPr>
        <w:t xml:space="preserve">     </w:t>
      </w:r>
    </w:p>
    <w:p>
      <w:pPr>
        <w:spacing w:line="360" w:lineRule="auto"/>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（6）发包人无正当理由没有在约定期限内发出复工指示，导致承包人无法复工的违约责任：</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（7）</w:t>
      </w:r>
      <w:r>
        <w:rPr>
          <w:rFonts w:hint="eastAsia" w:ascii="Times New Roman" w:hAnsi="Times New Roman" w:eastAsia="仿宋_GB2312"/>
          <w:color w:val="auto"/>
          <w:kern w:val="0"/>
          <w:sz w:val="24"/>
          <w:szCs w:val="24"/>
          <w:highlight w:val="none"/>
        </w:rPr>
        <w:t>其他：</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16.1.3 因发包人违约解除合同</w:t>
      </w:r>
    </w:p>
    <w:p>
      <w:pPr>
        <w:autoSpaceDE w:val="0"/>
        <w:autoSpaceDN w:val="0"/>
        <w:adjustRightInd w:val="0"/>
        <w:spacing w:line="360" w:lineRule="auto"/>
        <w:ind w:firstLine="480" w:firstLineChars="200"/>
        <w:jc w:val="left"/>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承包人按16.1.1项</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发包人违约的情形</w:t>
      </w:r>
      <w:r>
        <w:rPr>
          <w:rFonts w:hint="eastAsia"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rPr>
        <w:t>约定暂停施工满</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天后发包人仍不纠正其违约行为并致使合同目的不能实现的，承包人有权解除合同。</w:t>
      </w:r>
    </w:p>
    <w:p>
      <w:pPr>
        <w:pStyle w:val="11"/>
        <w:rPr>
          <w:color w:val="auto"/>
          <w:sz w:val="24"/>
          <w:szCs w:val="24"/>
          <w:highlight w:val="none"/>
        </w:rPr>
      </w:pPr>
      <w:r>
        <w:rPr>
          <w:color w:val="auto"/>
          <w:sz w:val="24"/>
          <w:szCs w:val="24"/>
          <w:highlight w:val="none"/>
        </w:rPr>
        <w:t>16.2 承包人违约</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16.2.1 承包人违约的情形</w:t>
      </w:r>
    </w:p>
    <w:p>
      <w:pPr>
        <w:spacing w:line="360" w:lineRule="auto"/>
        <w:ind w:firstLine="480" w:firstLineChars="200"/>
        <w:jc w:val="left"/>
        <w:rPr>
          <w:rFonts w:ascii="Times New Roman" w:hAnsi="Times New Roman" w:eastAsia="仿宋_GB2312"/>
          <w:color w:val="auto"/>
          <w:kern w:val="0"/>
          <w:sz w:val="24"/>
          <w:szCs w:val="24"/>
          <w:highlight w:val="none"/>
          <w:u w:val="single"/>
        </w:rPr>
      </w:pPr>
      <w:r>
        <w:rPr>
          <w:rFonts w:ascii="Times New Roman" w:hAnsi="Times New Roman" w:eastAsia="仿宋_GB2312"/>
          <w:color w:val="auto"/>
          <w:kern w:val="0"/>
          <w:sz w:val="24"/>
          <w:szCs w:val="24"/>
          <w:highlight w:val="none"/>
        </w:rPr>
        <w:t>承包人违约的其他情形：</w:t>
      </w:r>
      <w:r>
        <w:rPr>
          <w:rFonts w:ascii="Times New Roman" w:hAnsi="Times New Roman" w:eastAsia="仿宋_GB2312"/>
          <w:color w:val="auto"/>
          <w:kern w:val="0"/>
          <w:sz w:val="24"/>
          <w:szCs w:val="24"/>
          <w:highlight w:val="none"/>
          <w:u w:val="single"/>
        </w:rPr>
        <w:t xml:space="preserve">                                </w:t>
      </w:r>
    </w:p>
    <w:p>
      <w:pPr>
        <w:spacing w:line="360" w:lineRule="auto"/>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16.2.2承包人违约的责任</w:t>
      </w:r>
    </w:p>
    <w:p>
      <w:pPr>
        <w:spacing w:line="360" w:lineRule="auto"/>
        <w:ind w:firstLine="480" w:firstLineChars="200"/>
        <w:jc w:val="left"/>
        <w:rPr>
          <w:rFonts w:ascii="Times New Roman" w:hAnsi="Times New Roman" w:eastAsia="仿宋_GB2312"/>
          <w:color w:val="auto"/>
          <w:kern w:val="0"/>
          <w:sz w:val="24"/>
          <w:szCs w:val="24"/>
          <w:highlight w:val="none"/>
          <w:u w:val="single"/>
        </w:rPr>
      </w:pPr>
      <w:r>
        <w:rPr>
          <w:rFonts w:ascii="Times New Roman" w:hAnsi="Times New Roman" w:eastAsia="仿宋_GB2312"/>
          <w:color w:val="auto"/>
          <w:kern w:val="0"/>
          <w:sz w:val="24"/>
          <w:szCs w:val="24"/>
          <w:highlight w:val="none"/>
        </w:rPr>
        <w:t>承包人违约责任的承担方式和计算方法：</w:t>
      </w:r>
      <w:r>
        <w:rPr>
          <w:rFonts w:ascii="Times New Roman" w:hAnsi="Times New Roman" w:eastAsia="仿宋_GB2312"/>
          <w:color w:val="auto"/>
          <w:kern w:val="0"/>
          <w:sz w:val="24"/>
          <w:szCs w:val="24"/>
          <w:highlight w:val="none"/>
          <w:u w:val="single"/>
        </w:rPr>
        <w:t xml:space="preserve">                  </w:t>
      </w:r>
    </w:p>
    <w:p>
      <w:pPr>
        <w:spacing w:line="360" w:lineRule="auto"/>
        <w:ind w:left="1500" w:hanging="1200" w:hangingChars="500"/>
        <w:jc w:val="left"/>
        <w:rPr>
          <w:rFonts w:ascii="Times New Roman" w:hAnsi="Times New Roman" w:eastAsia="仿宋_GB2312"/>
          <w:color w:val="auto"/>
          <w:kern w:val="0"/>
          <w:sz w:val="24"/>
          <w:szCs w:val="24"/>
          <w:highlight w:val="none"/>
          <w:u w:val="single"/>
        </w:rPr>
      </w:pP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r>
        <w:rPr>
          <w:rFonts w:ascii="Times New Roman" w:hAnsi="Times New Roman" w:eastAsia="仿宋_GB2312"/>
          <w:color w:val="auto"/>
          <w:sz w:val="24"/>
          <w:szCs w:val="24"/>
          <w:highlight w:val="none"/>
        </w:rPr>
        <w:t xml:space="preserve">    </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16.2.3 因承包人违约解除合同</w:t>
      </w:r>
    </w:p>
    <w:p>
      <w:pPr>
        <w:spacing w:before="120" w:after="120" w:line="360" w:lineRule="auto"/>
        <w:ind w:firstLine="480" w:firstLineChars="200"/>
        <w:rPr>
          <w:rFonts w:hint="eastAsia" w:ascii="Times New Roman" w:hAnsi="Times New Roman" w:eastAsia="仿宋_GB2312"/>
          <w:color w:val="auto"/>
          <w:kern w:val="0"/>
          <w:sz w:val="24"/>
          <w:szCs w:val="24"/>
          <w:highlight w:val="none"/>
          <w:u w:val="single"/>
        </w:rPr>
      </w:pPr>
      <w:r>
        <w:rPr>
          <w:rFonts w:ascii="Times New Roman" w:hAnsi="Times New Roman" w:eastAsia="仿宋_GB2312"/>
          <w:color w:val="auto"/>
          <w:kern w:val="0"/>
          <w:sz w:val="24"/>
          <w:szCs w:val="24"/>
          <w:highlight w:val="none"/>
        </w:rPr>
        <w:t>关于承包人违约解除合同的特别约定：</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p>
    <w:p>
      <w:pPr>
        <w:spacing w:before="120" w:after="120" w:line="360" w:lineRule="auto"/>
        <w:rPr>
          <w:rFonts w:hint="eastAsia"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before="120" w:after="120" w:line="360" w:lineRule="auto"/>
        <w:ind w:firstLine="480" w:firstLineChars="200"/>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发包人</w:t>
      </w:r>
      <w:r>
        <w:rPr>
          <w:rFonts w:hint="eastAsia" w:ascii="Times New Roman" w:hAnsi="Times New Roman" w:eastAsia="仿宋_GB2312"/>
          <w:color w:val="auto"/>
          <w:kern w:val="0"/>
          <w:sz w:val="24"/>
          <w:szCs w:val="24"/>
          <w:highlight w:val="none"/>
        </w:rPr>
        <w:t>继续</w:t>
      </w:r>
      <w:r>
        <w:rPr>
          <w:rFonts w:ascii="Times New Roman" w:hAnsi="Times New Roman" w:eastAsia="仿宋_GB2312"/>
          <w:color w:val="auto"/>
          <w:kern w:val="0"/>
          <w:sz w:val="24"/>
          <w:szCs w:val="24"/>
          <w:highlight w:val="none"/>
        </w:rPr>
        <w:t>使用承包人在施工现场的材料、设备、临时工程、承包人文件和由承包人或以其名义编制的其他文件</w:t>
      </w:r>
      <w:r>
        <w:rPr>
          <w:rFonts w:hint="eastAsia" w:ascii="Times New Roman" w:hAnsi="Times New Roman" w:eastAsia="仿宋_GB2312"/>
          <w:color w:val="auto"/>
          <w:kern w:val="0"/>
          <w:sz w:val="24"/>
          <w:szCs w:val="24"/>
          <w:highlight w:val="none"/>
        </w:rPr>
        <w:t>的费用承担方式</w:t>
      </w:r>
      <w:r>
        <w:rPr>
          <w:rFonts w:ascii="Times New Roman" w:hAnsi="Times New Roman" w:eastAsia="仿宋_GB2312"/>
          <w:color w:val="auto"/>
          <w:kern w:val="0"/>
          <w:sz w:val="24"/>
          <w:szCs w:val="24"/>
          <w:highlight w:val="none"/>
        </w:rPr>
        <w:t>：</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rPr>
        <w:t>。</w:t>
      </w:r>
    </w:p>
    <w:p>
      <w:pPr>
        <w:pStyle w:val="10"/>
        <w:rPr>
          <w:color w:val="auto"/>
          <w:sz w:val="24"/>
          <w:szCs w:val="24"/>
          <w:highlight w:val="none"/>
        </w:rPr>
      </w:pPr>
      <w:bookmarkStart w:id="825" w:name="_Toc351203649"/>
      <w:r>
        <w:rPr>
          <w:color w:val="auto"/>
          <w:sz w:val="24"/>
          <w:szCs w:val="24"/>
          <w:highlight w:val="none"/>
        </w:rPr>
        <w:t>17. 不可抗力</w:t>
      </w:r>
      <w:bookmarkEnd w:id="823"/>
      <w:bookmarkEnd w:id="825"/>
    </w:p>
    <w:p>
      <w:pPr>
        <w:pStyle w:val="11"/>
        <w:rPr>
          <w:color w:val="auto"/>
          <w:sz w:val="24"/>
          <w:szCs w:val="24"/>
          <w:highlight w:val="none"/>
        </w:rPr>
      </w:pPr>
      <w:r>
        <w:rPr>
          <w:color w:val="auto"/>
          <w:sz w:val="24"/>
          <w:szCs w:val="24"/>
          <w:highlight w:val="none"/>
        </w:rPr>
        <w:t>17.1 不可抗力的确认</w:t>
      </w:r>
    </w:p>
    <w:p>
      <w:pPr>
        <w:spacing w:line="360" w:lineRule="auto"/>
        <w:ind w:firstLine="480" w:firstLineChars="200"/>
        <w:jc w:val="left"/>
        <w:rPr>
          <w:rFonts w:ascii="Times New Roman" w:hAnsi="Times New Roman" w:eastAsia="仿宋_GB2312"/>
          <w:color w:val="auto"/>
          <w:kern w:val="0"/>
          <w:sz w:val="24"/>
          <w:szCs w:val="24"/>
          <w:highlight w:val="none"/>
          <w:u w:val="single"/>
        </w:rPr>
      </w:pPr>
      <w:r>
        <w:rPr>
          <w:rFonts w:ascii="Times New Roman" w:hAnsi="Times New Roman" w:eastAsia="仿宋_GB2312"/>
          <w:color w:val="auto"/>
          <w:sz w:val="24"/>
          <w:szCs w:val="24"/>
          <w:highlight w:val="none"/>
        </w:rPr>
        <w:t xml:space="preserve">除通用合同条款约定的不可抗力事件之外，视为不可抗力的其他情形：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pStyle w:val="11"/>
        <w:rPr>
          <w:color w:val="auto"/>
          <w:sz w:val="24"/>
          <w:szCs w:val="24"/>
          <w:highlight w:val="none"/>
        </w:rPr>
      </w:pPr>
      <w:r>
        <w:rPr>
          <w:color w:val="auto"/>
          <w:sz w:val="24"/>
          <w:szCs w:val="24"/>
          <w:highlight w:val="none"/>
        </w:rPr>
        <w:t>17.4 因不可抗力解除合同</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合同解除后，发包人应在商定或确定发包人应支付款项后</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天内完成款项的支付。</w:t>
      </w:r>
    </w:p>
    <w:p>
      <w:pPr>
        <w:pStyle w:val="10"/>
        <w:rPr>
          <w:color w:val="auto"/>
          <w:sz w:val="24"/>
          <w:szCs w:val="24"/>
          <w:highlight w:val="none"/>
        </w:rPr>
      </w:pPr>
      <w:bookmarkStart w:id="826" w:name="_Toc351203650"/>
      <w:r>
        <w:rPr>
          <w:color w:val="auto"/>
          <w:sz w:val="24"/>
          <w:szCs w:val="24"/>
          <w:highlight w:val="none"/>
        </w:rPr>
        <w:t>18. 保险</w:t>
      </w:r>
      <w:bookmarkEnd w:id="826"/>
    </w:p>
    <w:bookmarkEnd w:id="824"/>
    <w:p>
      <w:pPr>
        <w:pStyle w:val="11"/>
        <w:rPr>
          <w:color w:val="auto"/>
          <w:sz w:val="24"/>
          <w:szCs w:val="24"/>
          <w:highlight w:val="none"/>
        </w:rPr>
      </w:pPr>
      <w:r>
        <w:rPr>
          <w:color w:val="auto"/>
          <w:sz w:val="24"/>
          <w:szCs w:val="24"/>
          <w:highlight w:val="none"/>
        </w:rPr>
        <w:t>18.1 工程保险</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关于工程保险的特别约定：</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pStyle w:val="11"/>
        <w:rPr>
          <w:color w:val="auto"/>
          <w:sz w:val="24"/>
          <w:szCs w:val="24"/>
          <w:highlight w:val="none"/>
        </w:rPr>
      </w:pPr>
      <w:r>
        <w:rPr>
          <w:color w:val="auto"/>
          <w:sz w:val="24"/>
          <w:szCs w:val="24"/>
          <w:highlight w:val="none"/>
        </w:rPr>
        <w:t>18.3 其他保险</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rPr>
        <w:t>关于其他保险的约定：</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hint="eastAsia"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u w:val="single"/>
        </w:rPr>
        <w:t xml:space="preserve">     </w:t>
      </w:r>
      <w:r>
        <w:rPr>
          <w:rFonts w:ascii="Times New Roman" w:hAnsi="Times New Roman" w:eastAsia="仿宋_GB2312"/>
          <w:color w:val="auto"/>
          <w:kern w:val="0"/>
          <w:sz w:val="24"/>
          <w:szCs w:val="24"/>
          <w:highlight w:val="none"/>
        </w:rPr>
        <w:t>。</w:t>
      </w:r>
    </w:p>
    <w:p>
      <w:pPr>
        <w:spacing w:line="360" w:lineRule="auto"/>
        <w:ind w:firstLine="480" w:firstLineChars="200"/>
        <w:jc w:val="left"/>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承包人是否应为其施工设备等办理财产保险：</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kern w:val="0"/>
          <w:sz w:val="24"/>
          <w:szCs w:val="24"/>
          <w:highlight w:val="none"/>
        </w:rPr>
      </w:pP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pStyle w:val="11"/>
        <w:rPr>
          <w:color w:val="auto"/>
          <w:sz w:val="24"/>
          <w:szCs w:val="24"/>
          <w:highlight w:val="none"/>
        </w:rPr>
      </w:pPr>
      <w:r>
        <w:rPr>
          <w:color w:val="auto"/>
          <w:sz w:val="24"/>
          <w:szCs w:val="24"/>
          <w:highlight w:val="none"/>
        </w:rPr>
        <w:t>18.7 通知义务</w:t>
      </w:r>
    </w:p>
    <w:p>
      <w:pPr>
        <w:spacing w:line="360" w:lineRule="auto"/>
        <w:ind w:firstLine="480" w:firstLineChars="20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kern w:val="0"/>
          <w:sz w:val="24"/>
          <w:szCs w:val="24"/>
          <w:highlight w:val="none"/>
        </w:rPr>
        <w:t>关于变更保险合同时的通知义务的约定：</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bookmarkEnd w:id="800"/>
    <w:bookmarkEnd w:id="801"/>
    <w:bookmarkEnd w:id="802"/>
    <w:bookmarkEnd w:id="803"/>
    <w:bookmarkEnd w:id="804"/>
    <w:bookmarkEnd w:id="805"/>
    <w:bookmarkEnd w:id="806"/>
    <w:bookmarkEnd w:id="807"/>
    <w:bookmarkEnd w:id="808"/>
    <w:bookmarkEnd w:id="809"/>
    <w:bookmarkEnd w:id="810"/>
    <w:bookmarkEnd w:id="811"/>
    <w:p>
      <w:pPr>
        <w:pStyle w:val="10"/>
        <w:rPr>
          <w:color w:val="auto"/>
          <w:sz w:val="24"/>
          <w:szCs w:val="24"/>
          <w:highlight w:val="none"/>
        </w:rPr>
      </w:pPr>
      <w:bookmarkStart w:id="827" w:name="_Toc351203651"/>
      <w:r>
        <w:rPr>
          <w:color w:val="auto"/>
          <w:sz w:val="24"/>
          <w:szCs w:val="24"/>
          <w:highlight w:val="none"/>
        </w:rPr>
        <w:t>20. 争议解决</w:t>
      </w:r>
      <w:bookmarkEnd w:id="827"/>
    </w:p>
    <w:bookmarkEnd w:id="812"/>
    <w:bookmarkEnd w:id="813"/>
    <w:p>
      <w:pPr>
        <w:pStyle w:val="11"/>
        <w:rPr>
          <w:color w:val="auto"/>
          <w:sz w:val="24"/>
          <w:szCs w:val="24"/>
          <w:highlight w:val="none"/>
        </w:rPr>
      </w:pPr>
      <w:r>
        <w:rPr>
          <w:color w:val="auto"/>
          <w:sz w:val="24"/>
          <w:szCs w:val="24"/>
          <w:highlight w:val="none"/>
        </w:rPr>
        <w:t>20.3 争</w:t>
      </w:r>
      <w:bookmarkEnd w:id="814"/>
      <w:r>
        <w:rPr>
          <w:color w:val="auto"/>
          <w:sz w:val="24"/>
          <w:szCs w:val="24"/>
          <w:highlight w:val="none"/>
        </w:rPr>
        <w:t>议评审</w:t>
      </w:r>
    </w:p>
    <w:p>
      <w:pPr>
        <w:spacing w:line="360" w:lineRule="auto"/>
        <w:ind w:left="149" w:leftChars="71" w:firstLine="360" w:firstLineChars="150"/>
        <w:jc w:val="left"/>
        <w:rPr>
          <w:rFonts w:hint="eastAsia"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合同当事人是否同意将工程争议提交争议评审小组决</w:t>
      </w:r>
      <w:r>
        <w:rPr>
          <w:rFonts w:hint="eastAsia" w:ascii="Times New Roman" w:hAnsi="Times New Roman" w:eastAsia="仿宋_GB2312"/>
          <w:color w:val="auto"/>
          <w:sz w:val="24"/>
          <w:szCs w:val="24"/>
          <w:highlight w:val="none"/>
        </w:rPr>
        <w:t>定：</w:t>
      </w:r>
      <w:r>
        <w:rPr>
          <w:rFonts w:hint="eastAsia"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 xml:space="preserve">。  </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20.3.1 争议评审小组的确定</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争议评审小组成员的确定：                     </w:t>
      </w:r>
      <w:r>
        <w:rPr>
          <w:rFonts w:hint="eastAsia" w:ascii="Times New Roman" w:hAnsi="Times New Roman" w:eastAsia="仿宋_GB2312"/>
          <w:color w:val="auto"/>
          <w:kern w:val="0"/>
          <w:sz w:val="24"/>
          <w:szCs w:val="24"/>
          <w:highlight w:val="none"/>
        </w:rPr>
        <w:t xml:space="preserve">    </w:t>
      </w:r>
      <w:r>
        <w:rPr>
          <w:rFonts w:ascii="Times New Roman" w:hAnsi="Times New Roman" w:eastAsia="仿宋_GB2312"/>
          <w:color w:val="auto"/>
          <w:kern w:val="0"/>
          <w:sz w:val="24"/>
          <w:szCs w:val="24"/>
          <w:highlight w:val="none"/>
        </w:rPr>
        <w:t xml:space="preserve">    。</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选定争议评审员的期限：                     </w:t>
      </w:r>
      <w:r>
        <w:rPr>
          <w:rFonts w:hint="eastAsia" w:ascii="Times New Roman" w:hAnsi="Times New Roman" w:eastAsia="仿宋_GB2312"/>
          <w:color w:val="auto"/>
          <w:kern w:val="0"/>
          <w:sz w:val="24"/>
          <w:szCs w:val="24"/>
          <w:highlight w:val="none"/>
        </w:rPr>
        <w:t xml:space="preserve">    </w:t>
      </w:r>
      <w:r>
        <w:rPr>
          <w:rFonts w:ascii="Times New Roman" w:hAnsi="Times New Roman" w:eastAsia="仿宋_GB2312"/>
          <w:color w:val="auto"/>
          <w:kern w:val="0"/>
          <w:sz w:val="24"/>
          <w:szCs w:val="24"/>
          <w:highlight w:val="none"/>
        </w:rPr>
        <w:t xml:space="preserve">      。</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争议评审小组成员的报酬承担方式：           </w:t>
      </w:r>
      <w:r>
        <w:rPr>
          <w:rFonts w:hint="eastAsia" w:ascii="Times New Roman" w:hAnsi="Times New Roman" w:eastAsia="仿宋_GB2312"/>
          <w:color w:val="auto"/>
          <w:kern w:val="0"/>
          <w:sz w:val="24"/>
          <w:szCs w:val="24"/>
          <w:highlight w:val="none"/>
        </w:rPr>
        <w:t xml:space="preserve">    </w:t>
      </w:r>
      <w:r>
        <w:rPr>
          <w:rFonts w:ascii="Times New Roman" w:hAnsi="Times New Roman" w:eastAsia="仿宋_GB2312"/>
          <w:color w:val="auto"/>
          <w:kern w:val="0"/>
          <w:sz w:val="24"/>
          <w:szCs w:val="24"/>
          <w:highlight w:val="none"/>
        </w:rPr>
        <w:t xml:space="preserve">      。</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其他事项的约定：                          </w:t>
      </w:r>
      <w:r>
        <w:rPr>
          <w:rFonts w:hint="eastAsia" w:ascii="Times New Roman" w:hAnsi="Times New Roman" w:eastAsia="仿宋_GB2312"/>
          <w:color w:val="auto"/>
          <w:kern w:val="0"/>
          <w:sz w:val="24"/>
          <w:szCs w:val="24"/>
          <w:highlight w:val="none"/>
        </w:rPr>
        <w:t xml:space="preserve">    </w:t>
      </w:r>
      <w:r>
        <w:rPr>
          <w:rFonts w:ascii="Times New Roman" w:hAnsi="Times New Roman" w:eastAsia="仿宋_GB2312"/>
          <w:color w:val="auto"/>
          <w:kern w:val="0"/>
          <w:sz w:val="24"/>
          <w:szCs w:val="24"/>
          <w:highlight w:val="none"/>
        </w:rPr>
        <w:t xml:space="preserve">       。</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20.3.2 争议评审小组的决定</w:t>
      </w:r>
    </w:p>
    <w:p>
      <w:pPr>
        <w:spacing w:line="360" w:lineRule="auto"/>
        <w:ind w:firstLine="480" w:firstLineChars="200"/>
        <w:jc w:val="left"/>
        <w:rPr>
          <w:rFonts w:ascii="Times New Roman" w:hAnsi="Times New Roman" w:eastAsia="仿宋_GB2312"/>
          <w:color w:val="auto"/>
          <w:kern w:val="0"/>
          <w:sz w:val="24"/>
          <w:szCs w:val="24"/>
          <w:highlight w:val="none"/>
        </w:rPr>
      </w:pPr>
      <w:r>
        <w:rPr>
          <w:rFonts w:ascii="Times New Roman" w:hAnsi="Times New Roman" w:eastAsia="仿宋_GB2312"/>
          <w:color w:val="auto"/>
          <w:kern w:val="0"/>
          <w:sz w:val="24"/>
          <w:szCs w:val="24"/>
          <w:highlight w:val="none"/>
        </w:rPr>
        <w:t xml:space="preserve">合同当事人关于本项的约定：                      </w:t>
      </w:r>
      <w:r>
        <w:rPr>
          <w:rFonts w:hint="eastAsia" w:ascii="Times New Roman" w:hAnsi="Times New Roman" w:eastAsia="仿宋_GB2312"/>
          <w:color w:val="auto"/>
          <w:kern w:val="0"/>
          <w:sz w:val="24"/>
          <w:szCs w:val="24"/>
          <w:highlight w:val="none"/>
        </w:rPr>
        <w:t xml:space="preserve">   </w:t>
      </w:r>
      <w:r>
        <w:rPr>
          <w:rFonts w:ascii="Times New Roman" w:hAnsi="Times New Roman" w:eastAsia="仿宋_GB2312"/>
          <w:color w:val="auto"/>
          <w:kern w:val="0"/>
          <w:sz w:val="24"/>
          <w:szCs w:val="24"/>
          <w:highlight w:val="none"/>
        </w:rPr>
        <w:t xml:space="preserve">  。</w:t>
      </w:r>
    </w:p>
    <w:p>
      <w:pPr>
        <w:pStyle w:val="11"/>
        <w:rPr>
          <w:rFonts w:hint="eastAsia"/>
          <w:color w:val="auto"/>
          <w:sz w:val="24"/>
          <w:szCs w:val="24"/>
          <w:highlight w:val="none"/>
        </w:rPr>
      </w:pPr>
      <w:r>
        <w:rPr>
          <w:color w:val="auto"/>
          <w:sz w:val="24"/>
          <w:szCs w:val="24"/>
          <w:highlight w:val="none"/>
        </w:rPr>
        <w:t>20.4仲裁或诉讼</w:t>
      </w:r>
      <w:bookmarkEnd w:id="815"/>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仿宋_GB2312"/>
          <w:color w:val="auto"/>
          <w:sz w:val="24"/>
          <w:szCs w:val="24"/>
          <w:highlight w:val="none"/>
        </w:rPr>
        <w:t>因合同及合同有关事项发生的争议，按下列第</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种方式</w:t>
      </w:r>
      <w:r>
        <w:rPr>
          <w:rFonts w:hint="eastAsia" w:ascii="Times New Roman" w:hAnsi="Times New Roman" w:eastAsia="仿宋_GB2312"/>
          <w:color w:val="auto"/>
          <w:sz w:val="24"/>
          <w:szCs w:val="24"/>
          <w:highlight w:val="none"/>
        </w:rPr>
        <w:t>解</w:t>
      </w:r>
      <w:r>
        <w:rPr>
          <w:rFonts w:ascii="Times New Roman" w:hAnsi="Times New Roman" w:eastAsia="仿宋_GB2312"/>
          <w:color w:val="auto"/>
          <w:sz w:val="24"/>
          <w:szCs w:val="24"/>
          <w:highlight w:val="none"/>
        </w:rPr>
        <w:t>决：</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（1）向</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仲裁委员会申请仲裁；</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（2）向</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人民法院起诉。</w:t>
      </w:r>
      <w:bookmarkEnd w:id="816"/>
      <w:bookmarkEnd w:id="817"/>
      <w:bookmarkEnd w:id="818"/>
      <w:bookmarkEnd w:id="819"/>
      <w:bookmarkEnd w:id="820"/>
      <w:bookmarkEnd w:id="821"/>
    </w:p>
    <w:p>
      <w:pPr>
        <w:pStyle w:val="8"/>
        <w:rPr>
          <w:color w:val="auto"/>
          <w:sz w:val="24"/>
          <w:szCs w:val="24"/>
          <w:highlight w:val="none"/>
        </w:rPr>
      </w:pPr>
      <w:r>
        <w:rPr>
          <w:rFonts w:eastAsia="仿宋_GB2312"/>
          <w:color w:val="auto"/>
          <w:highlight w:val="none"/>
        </w:rPr>
        <w:br w:type="page"/>
      </w:r>
      <w:bookmarkStart w:id="828" w:name="_Toc351203652"/>
      <w:bookmarkStart w:id="829" w:name="_Toc507166974"/>
      <w:r>
        <w:rPr>
          <w:color w:val="auto"/>
          <w:sz w:val="24"/>
          <w:szCs w:val="24"/>
          <w:highlight w:val="none"/>
        </w:rPr>
        <w:t>附件</w:t>
      </w:r>
      <w:bookmarkEnd w:id="828"/>
      <w:bookmarkEnd w:id="829"/>
    </w:p>
    <w:p>
      <w:pPr>
        <w:spacing w:line="360" w:lineRule="auto"/>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协议书附件：</w:t>
      </w:r>
    </w:p>
    <w:p>
      <w:pPr>
        <w:spacing w:line="360" w:lineRule="auto"/>
        <w:jc w:val="left"/>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附件1：承包人承揽工程项目一览表</w:t>
      </w:r>
    </w:p>
    <w:p>
      <w:pPr>
        <w:spacing w:line="360" w:lineRule="auto"/>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专用合同条款附件：</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附件2：发包人供应材料设备一览表</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附件3：工程质量保修书</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附件4：主要建设工程文件目录</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附件5：承包人用于本工程施工的机械设备表</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附件6：承包人主要施工管理人员表</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附件7：分包人主要施工管理人员表</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附件8：履约担保格式</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附件9：预付款担保格式</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附件10：支付担保格式</w:t>
      </w:r>
    </w:p>
    <w:p>
      <w:pPr>
        <w:spacing w:line="360" w:lineRule="auto"/>
        <w:jc w:val="left"/>
        <w:rPr>
          <w:rFonts w:ascii="Times New Roman" w:hAnsi="Times New Roman" w:eastAsia="黑体"/>
          <w:color w:val="auto"/>
          <w:sz w:val="24"/>
          <w:szCs w:val="24"/>
          <w:highlight w:val="none"/>
        </w:rPr>
        <w:sectPr>
          <w:footerReference r:id="rId14" w:type="first"/>
          <w:pgSz w:w="11906" w:h="16838"/>
          <w:pgMar w:top="1418" w:right="1555" w:bottom="1418" w:left="1531" w:header="851" w:footer="992" w:gutter="0"/>
          <w:pgNumType w:fmt="decimal"/>
          <w:cols w:space="720" w:num="1"/>
          <w:titlePg/>
          <w:docGrid w:type="lines" w:linePitch="312" w:charSpace="0"/>
        </w:sectPr>
      </w:pPr>
      <w:r>
        <w:rPr>
          <w:rFonts w:ascii="Times New Roman" w:hAnsi="Times New Roman" w:eastAsia="仿宋_GB2312"/>
          <w:color w:val="auto"/>
          <w:sz w:val="24"/>
          <w:szCs w:val="24"/>
          <w:highlight w:val="none"/>
        </w:rPr>
        <w:t>附件11：暂估价一览表</w:t>
      </w:r>
    </w:p>
    <w:p>
      <w:pPr>
        <w:pStyle w:val="9"/>
        <w:rPr>
          <w:rFonts w:hint="eastAsia"/>
          <w:color w:val="auto"/>
          <w:highlight w:val="none"/>
        </w:rPr>
      </w:pPr>
      <w:r>
        <w:rPr>
          <w:rFonts w:hint="eastAsia"/>
          <w:color w:val="auto"/>
          <w:highlight w:val="none"/>
        </w:rPr>
        <w:t>附件1：</w:t>
      </w:r>
    </w:p>
    <w:p>
      <w:pPr>
        <w:spacing w:before="156" w:beforeLines="50" w:after="156" w:afterLines="50" w:line="440" w:lineRule="exact"/>
        <w:jc w:val="center"/>
        <w:rPr>
          <w:rFonts w:hint="eastAsia" w:ascii="Times New Roman" w:hAnsi="Times New Roman" w:eastAsia="黑体"/>
          <w:color w:val="auto"/>
          <w:sz w:val="24"/>
          <w:szCs w:val="24"/>
          <w:highlight w:val="none"/>
        </w:rPr>
      </w:pPr>
      <w:r>
        <w:rPr>
          <w:rFonts w:ascii="Times New Roman" w:hAnsi="Times New Roman" w:eastAsia="黑体"/>
          <w:color w:val="auto"/>
          <w:sz w:val="24"/>
          <w:szCs w:val="24"/>
          <w:highlight w:val="none"/>
        </w:rPr>
        <w:t>承包人承揽工程项目一览表</w:t>
      </w:r>
    </w:p>
    <w:tbl>
      <w:tblPr>
        <w:tblStyle w:val="40"/>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单位工程名称</w:t>
            </w:r>
          </w:p>
        </w:tc>
        <w:tc>
          <w:tcPr>
            <w:tcW w:w="1843"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建设规模</w:t>
            </w:r>
          </w:p>
        </w:tc>
        <w:tc>
          <w:tcPr>
            <w:tcW w:w="1417"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建筑面积(平方米)</w:t>
            </w:r>
          </w:p>
        </w:tc>
        <w:tc>
          <w:tcPr>
            <w:tcW w:w="2410"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结构</w:t>
            </w:r>
            <w:r>
              <w:rPr>
                <w:rFonts w:hint="eastAsia" w:eastAsia="仿宋_GB2312"/>
                <w:color w:val="auto"/>
                <w:kern w:val="2"/>
                <w:sz w:val="24"/>
                <w:szCs w:val="24"/>
                <w:highlight w:val="none"/>
              </w:rPr>
              <w:t>形式</w:t>
            </w:r>
          </w:p>
        </w:tc>
        <w:tc>
          <w:tcPr>
            <w:tcW w:w="850"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层数</w:t>
            </w:r>
          </w:p>
        </w:tc>
        <w:tc>
          <w:tcPr>
            <w:tcW w:w="1560"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生产能力</w:t>
            </w:r>
          </w:p>
        </w:tc>
        <w:tc>
          <w:tcPr>
            <w:tcW w:w="2126"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设备安装内容</w:t>
            </w:r>
          </w:p>
        </w:tc>
        <w:tc>
          <w:tcPr>
            <w:tcW w:w="1417"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合同价格（元）</w:t>
            </w:r>
          </w:p>
        </w:tc>
        <w:tc>
          <w:tcPr>
            <w:tcW w:w="851"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开工日期</w:t>
            </w:r>
          </w:p>
        </w:tc>
        <w:tc>
          <w:tcPr>
            <w:tcW w:w="850"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843"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7"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2410"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0"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560"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2126"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7"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0"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843"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1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241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56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2126"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1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1"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843"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1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241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56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2126"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1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1"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84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1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241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56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212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1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1"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843"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1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241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56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2126"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1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1"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84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1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241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56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212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1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1"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843"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1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241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56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2126"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1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1"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843"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1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241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56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2126"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1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1"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84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1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241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56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212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1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1"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843"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1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241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56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2126"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1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1"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84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1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241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56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212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1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1"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bl>
    <w:p>
      <w:pPr>
        <w:spacing w:line="440" w:lineRule="exact"/>
        <w:rPr>
          <w:rFonts w:ascii="Times New Roman" w:hAnsi="Times New Roman" w:eastAsia="仿宋_GB2312"/>
          <w:b/>
          <w:color w:val="auto"/>
          <w:sz w:val="30"/>
          <w:szCs w:val="30"/>
          <w:highlight w:val="none"/>
        </w:rPr>
        <w:sectPr>
          <w:pgSz w:w="16838" w:h="11906" w:orient="landscape"/>
          <w:pgMar w:top="1554" w:right="1418" w:bottom="1531" w:left="1418" w:header="851" w:footer="992" w:gutter="0"/>
          <w:pgNumType w:fmt="decimal"/>
          <w:cols w:space="720" w:num="1"/>
          <w:titlePg/>
          <w:docGrid w:type="linesAndChars" w:linePitch="312" w:charSpace="0"/>
        </w:sectPr>
      </w:pPr>
    </w:p>
    <w:p>
      <w:pPr>
        <w:pStyle w:val="9"/>
        <w:rPr>
          <w:color w:val="auto"/>
          <w:sz w:val="24"/>
          <w:szCs w:val="24"/>
          <w:highlight w:val="none"/>
        </w:rPr>
      </w:pPr>
      <w:r>
        <w:rPr>
          <w:color w:val="auto"/>
          <w:sz w:val="24"/>
          <w:szCs w:val="24"/>
          <w:highlight w:val="none"/>
        </w:rPr>
        <w:t>附</w:t>
      </w:r>
      <w:bookmarkStart w:id="830" w:name="_Toc296891265"/>
      <w:bookmarkStart w:id="831" w:name="_Toc296347224"/>
      <w:bookmarkStart w:id="832" w:name="_Toc267261692"/>
      <w:bookmarkStart w:id="833" w:name="_Toc296346726"/>
      <w:bookmarkStart w:id="834" w:name="_Toc296944564"/>
      <w:bookmarkStart w:id="835" w:name="_Toc296891053"/>
      <w:bookmarkStart w:id="836" w:name="_Toc296503225"/>
      <w:r>
        <w:rPr>
          <w:color w:val="auto"/>
          <w:sz w:val="24"/>
          <w:szCs w:val="24"/>
          <w:highlight w:val="none"/>
        </w:rPr>
        <w:t>件2：</w:t>
      </w:r>
    </w:p>
    <w:bookmarkEnd w:id="830"/>
    <w:bookmarkEnd w:id="831"/>
    <w:bookmarkEnd w:id="832"/>
    <w:bookmarkEnd w:id="833"/>
    <w:bookmarkEnd w:id="834"/>
    <w:bookmarkEnd w:id="835"/>
    <w:bookmarkEnd w:id="836"/>
    <w:p>
      <w:pPr>
        <w:spacing w:before="156" w:beforeLines="50" w:after="156" w:afterLines="50" w:line="440" w:lineRule="exact"/>
        <w:jc w:val="center"/>
        <w:rPr>
          <w:rFonts w:hint="eastAsia" w:ascii="Times New Roman" w:hAnsi="Times New Roman" w:eastAsia="黑体"/>
          <w:color w:val="auto"/>
          <w:sz w:val="24"/>
          <w:szCs w:val="24"/>
          <w:highlight w:val="none"/>
        </w:rPr>
      </w:pPr>
      <w:r>
        <w:rPr>
          <w:rFonts w:ascii="Times New Roman" w:hAnsi="Times New Roman" w:eastAsia="黑体"/>
          <w:color w:val="auto"/>
          <w:sz w:val="24"/>
          <w:szCs w:val="24"/>
          <w:highlight w:val="none"/>
        </w:rPr>
        <w:t>发包人供应材料设备一览表</w:t>
      </w:r>
    </w:p>
    <w:tbl>
      <w:tblPr>
        <w:tblStyle w:val="40"/>
        <w:tblW w:w="97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75"/>
        <w:gridCol w:w="1164"/>
        <w:gridCol w:w="1293"/>
        <w:gridCol w:w="857"/>
        <w:gridCol w:w="775"/>
        <w:gridCol w:w="952"/>
        <w:gridCol w:w="904"/>
        <w:gridCol w:w="775"/>
        <w:gridCol w:w="1356"/>
        <w:gridCol w:w="9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1" w:hRule="atLeast"/>
          <w:jc w:val="center"/>
        </w:trPr>
        <w:tc>
          <w:tcPr>
            <w:tcW w:w="775"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序号</w:t>
            </w:r>
          </w:p>
        </w:tc>
        <w:tc>
          <w:tcPr>
            <w:tcW w:w="1164"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eastAsia" w:eastAsia="仿宋_GB2312"/>
                <w:color w:val="auto"/>
                <w:kern w:val="2"/>
                <w:sz w:val="24"/>
                <w:szCs w:val="24"/>
                <w:highlight w:val="none"/>
              </w:rPr>
            </w:pPr>
            <w:r>
              <w:rPr>
                <w:rFonts w:hint="eastAsia" w:eastAsia="仿宋_GB2312"/>
                <w:color w:val="auto"/>
                <w:kern w:val="2"/>
                <w:sz w:val="24"/>
                <w:szCs w:val="24"/>
                <w:highlight w:val="none"/>
              </w:rPr>
              <w:t xml:space="preserve">  </w:t>
            </w:r>
            <w:r>
              <w:rPr>
                <w:rFonts w:hint="default" w:eastAsia="仿宋_GB2312"/>
                <w:color w:val="auto"/>
                <w:kern w:val="2"/>
                <w:sz w:val="24"/>
                <w:szCs w:val="24"/>
                <w:highlight w:val="none"/>
              </w:rPr>
              <w:t>材料、</w:t>
            </w:r>
          </w:p>
          <w:p>
            <w:pPr>
              <w:pStyle w:val="3"/>
              <w:keepNext/>
              <w:keepLines w:val="0"/>
              <w:suppressLineNumbers w:val="0"/>
              <w:spacing w:before="0" w:beforeAutospacing="0" w:after="0" w:afterAutospacing="0" w:line="440" w:lineRule="exact"/>
              <w:ind w:left="0" w:leftChars="0" w:right="63"/>
              <w:jc w:val="both"/>
              <w:rPr>
                <w:rFonts w:hint="default" w:eastAsia="仿宋_GB2312"/>
                <w:color w:val="auto"/>
                <w:kern w:val="2"/>
                <w:sz w:val="24"/>
                <w:szCs w:val="24"/>
                <w:highlight w:val="none"/>
              </w:rPr>
            </w:pPr>
            <w:r>
              <w:rPr>
                <w:rFonts w:hint="default" w:eastAsia="仿宋_GB2312"/>
                <w:color w:val="auto"/>
                <w:kern w:val="2"/>
                <w:sz w:val="24"/>
                <w:szCs w:val="24"/>
                <w:highlight w:val="none"/>
              </w:rPr>
              <w:t>设备品种</w:t>
            </w:r>
          </w:p>
        </w:tc>
        <w:tc>
          <w:tcPr>
            <w:tcW w:w="1293"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规格型号</w:t>
            </w:r>
          </w:p>
        </w:tc>
        <w:tc>
          <w:tcPr>
            <w:tcW w:w="857"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单位</w:t>
            </w:r>
          </w:p>
        </w:tc>
        <w:tc>
          <w:tcPr>
            <w:tcW w:w="775"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数量</w:t>
            </w:r>
          </w:p>
        </w:tc>
        <w:tc>
          <w:tcPr>
            <w:tcW w:w="952"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单价</w:t>
            </w:r>
            <w:r>
              <w:rPr>
                <w:rFonts w:hint="eastAsia" w:eastAsia="仿宋_GB2312"/>
                <w:color w:val="auto"/>
                <w:kern w:val="2"/>
                <w:sz w:val="24"/>
                <w:szCs w:val="24"/>
                <w:highlight w:val="none"/>
              </w:rPr>
              <w:t>（元）</w:t>
            </w:r>
          </w:p>
        </w:tc>
        <w:tc>
          <w:tcPr>
            <w:tcW w:w="904"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质量等级</w:t>
            </w:r>
          </w:p>
        </w:tc>
        <w:tc>
          <w:tcPr>
            <w:tcW w:w="775"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供应时间</w:t>
            </w:r>
          </w:p>
        </w:tc>
        <w:tc>
          <w:tcPr>
            <w:tcW w:w="1356"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送达地点</w:t>
            </w:r>
          </w:p>
        </w:tc>
        <w:tc>
          <w:tcPr>
            <w:tcW w:w="904"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58" w:hRule="atLeast"/>
          <w:jc w:val="center"/>
        </w:trPr>
        <w:tc>
          <w:tcPr>
            <w:tcW w:w="775"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164"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293"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7"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5"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952"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904"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5"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6"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904"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8" w:hRule="atLeast"/>
          <w:jc w:val="center"/>
        </w:trPr>
        <w:tc>
          <w:tcPr>
            <w:tcW w:w="775"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164"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293"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775"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52"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04"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775"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356"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04"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8" w:hRule="atLeast"/>
          <w:jc w:val="center"/>
        </w:trPr>
        <w:tc>
          <w:tcPr>
            <w:tcW w:w="7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16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29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7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5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0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7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35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0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8" w:hRule="atLeast"/>
          <w:jc w:val="center"/>
        </w:trPr>
        <w:tc>
          <w:tcPr>
            <w:tcW w:w="7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16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29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7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5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0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7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35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0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8" w:hRule="atLeast"/>
          <w:jc w:val="center"/>
        </w:trPr>
        <w:tc>
          <w:tcPr>
            <w:tcW w:w="7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16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29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7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5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0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7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35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0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8" w:hRule="atLeast"/>
          <w:jc w:val="center"/>
        </w:trPr>
        <w:tc>
          <w:tcPr>
            <w:tcW w:w="7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16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29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7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5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0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7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35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0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8" w:hRule="atLeast"/>
          <w:jc w:val="center"/>
        </w:trPr>
        <w:tc>
          <w:tcPr>
            <w:tcW w:w="7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16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29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7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5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0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7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35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0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8" w:hRule="atLeast"/>
          <w:jc w:val="center"/>
        </w:trPr>
        <w:tc>
          <w:tcPr>
            <w:tcW w:w="7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16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29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7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5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0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7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35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0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775"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164"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293"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7"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75"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952"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904"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75"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904"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8" w:hRule="atLeast"/>
          <w:jc w:val="center"/>
        </w:trPr>
        <w:tc>
          <w:tcPr>
            <w:tcW w:w="7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16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29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5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7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5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0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7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35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0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775"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164"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293"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7"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75"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952"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904"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75"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904"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775"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164"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293"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7"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75"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952"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904"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75"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904"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775"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164"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293"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7"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75"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952"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904"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75"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904"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9" w:hRule="atLeast"/>
          <w:jc w:val="center"/>
        </w:trPr>
        <w:tc>
          <w:tcPr>
            <w:tcW w:w="775"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164"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293"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7"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75"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952"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904"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75"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904"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29" w:hRule="atLeast"/>
          <w:jc w:val="center"/>
        </w:trPr>
        <w:tc>
          <w:tcPr>
            <w:tcW w:w="775"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164"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293"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857"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75"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952"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904"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775"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1356"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c>
          <w:tcPr>
            <w:tcW w:w="904" w:type="dxa"/>
            <w:noWrap w:val="0"/>
            <w:vAlign w:val="center"/>
          </w:tcPr>
          <w:p>
            <w:pPr>
              <w:keepNext w:val="0"/>
              <w:keepLines w:val="0"/>
              <w:suppressLineNumbers w:val="0"/>
              <w:spacing w:before="0" w:beforeAutospacing="0" w:after="0" w:afterAutospacing="0"/>
              <w:ind w:left="0" w:right="0"/>
              <w:jc w:val="center"/>
              <w:rPr>
                <w:rFonts w:hint="default" w:eastAsia="仿宋_GB2312"/>
                <w:color w:val="auto"/>
                <w:sz w:val="30"/>
                <w:szCs w:val="30"/>
                <w:highlight w:val="none"/>
              </w:rPr>
            </w:pPr>
          </w:p>
        </w:tc>
      </w:tr>
    </w:tbl>
    <w:p>
      <w:pPr>
        <w:spacing w:line="440" w:lineRule="exact"/>
        <w:rPr>
          <w:rFonts w:ascii="Times New Roman" w:hAnsi="Times New Roman" w:eastAsia="仿宋_GB2312"/>
          <w:color w:val="auto"/>
          <w:sz w:val="30"/>
          <w:szCs w:val="30"/>
          <w:highlight w:val="none"/>
        </w:rPr>
      </w:pPr>
    </w:p>
    <w:p>
      <w:pPr>
        <w:pStyle w:val="149"/>
        <w:rPr>
          <w:rFonts w:ascii="Times New Roman" w:hAnsi="Times New Roman" w:eastAsia="仿宋_GB2312"/>
          <w:color w:val="auto"/>
          <w:sz w:val="30"/>
          <w:szCs w:val="30"/>
          <w:highlight w:val="none"/>
        </w:rPr>
      </w:pPr>
    </w:p>
    <w:p>
      <w:pPr>
        <w:pStyle w:val="149"/>
        <w:rPr>
          <w:rFonts w:ascii="Times New Roman" w:hAnsi="Times New Roman" w:eastAsia="仿宋_GB2312"/>
          <w:color w:val="auto"/>
          <w:sz w:val="30"/>
          <w:szCs w:val="30"/>
          <w:highlight w:val="none"/>
        </w:rPr>
      </w:pPr>
    </w:p>
    <w:p>
      <w:pPr>
        <w:pStyle w:val="9"/>
        <w:rPr>
          <w:color w:val="auto"/>
          <w:sz w:val="24"/>
          <w:szCs w:val="24"/>
          <w:highlight w:val="none"/>
        </w:rPr>
      </w:pPr>
      <w:r>
        <w:rPr>
          <w:color w:val="auto"/>
          <w:sz w:val="24"/>
          <w:szCs w:val="24"/>
          <w:highlight w:val="none"/>
        </w:rPr>
        <w:t>附</w:t>
      </w:r>
      <w:bookmarkStart w:id="837" w:name="_Toc296346727"/>
      <w:bookmarkStart w:id="838" w:name="_Toc267261693"/>
      <w:bookmarkStart w:id="839" w:name="_Toc296891266"/>
      <w:bookmarkStart w:id="840" w:name="_Toc296891054"/>
      <w:bookmarkStart w:id="841" w:name="_Toc296347225"/>
      <w:bookmarkStart w:id="842" w:name="_Toc296503226"/>
      <w:bookmarkStart w:id="843" w:name="_Toc296944565"/>
      <w:r>
        <w:rPr>
          <w:color w:val="auto"/>
          <w:sz w:val="24"/>
          <w:szCs w:val="24"/>
          <w:highlight w:val="none"/>
        </w:rPr>
        <w:t>件3：</w:t>
      </w:r>
      <w:bookmarkEnd w:id="837"/>
      <w:bookmarkEnd w:id="838"/>
      <w:bookmarkEnd w:id="839"/>
      <w:bookmarkEnd w:id="840"/>
      <w:bookmarkEnd w:id="841"/>
      <w:bookmarkEnd w:id="842"/>
      <w:bookmarkEnd w:id="843"/>
      <w:r>
        <w:rPr>
          <w:color w:val="auto"/>
          <w:sz w:val="24"/>
          <w:szCs w:val="24"/>
          <w:highlight w:val="none"/>
        </w:rPr>
        <w:t xml:space="preserve">    </w:t>
      </w:r>
    </w:p>
    <w:p>
      <w:pPr>
        <w:spacing w:before="156" w:beforeLines="50" w:after="156" w:afterLines="50" w:line="440" w:lineRule="exact"/>
        <w:jc w:val="center"/>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工程质量保修书</w:t>
      </w:r>
    </w:p>
    <w:p>
      <w:pPr>
        <w:spacing w:line="440" w:lineRule="exact"/>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发包人（全称）：</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p>
    <w:p>
      <w:pPr>
        <w:spacing w:line="440" w:lineRule="exac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承包人（全称）：</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w:t>
      </w:r>
    </w:p>
    <w:p>
      <w:pPr>
        <w:spacing w:line="440" w:lineRule="exact"/>
        <w:rPr>
          <w:rFonts w:ascii="Times New Roman" w:hAnsi="Times New Roman" w:eastAsia="仿宋_GB2312"/>
          <w:color w:val="auto"/>
          <w:sz w:val="24"/>
          <w:szCs w:val="24"/>
          <w:highlight w:val="none"/>
        </w:rPr>
      </w:pP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发包人和承包人根据《中华人民共和国建筑法》和《建设工程质量管理条例》，经协商一致就</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（工程全称）签订工程质量保修书。</w:t>
      </w:r>
    </w:p>
    <w:p>
      <w:pPr>
        <w:spacing w:before="156" w:beforeLines="50" w:after="156" w:afterLines="50" w:line="440" w:lineRule="exact"/>
        <w:jc w:val="left"/>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　　一、工程质量保修范围和内容</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承包人在质量保修期内，按照有关法律规定和合同约定，承担工程质量保修责任。</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before="156" w:beforeLines="50" w:after="156" w:afterLines="50" w:line="440" w:lineRule="exact"/>
        <w:jc w:val="left"/>
        <w:rPr>
          <w:rFonts w:ascii="Times New Roman" w:hAnsi="Times New Roman" w:eastAsia="黑体"/>
          <w:color w:val="auto"/>
          <w:sz w:val="24"/>
          <w:szCs w:val="24"/>
          <w:highlight w:val="none"/>
        </w:rPr>
      </w:pPr>
      <w:r>
        <w:rPr>
          <w:rFonts w:ascii="Times New Roman" w:hAnsi="Times New Roman" w:eastAsia="仿宋_GB2312"/>
          <w:b/>
          <w:color w:val="auto"/>
          <w:sz w:val="24"/>
          <w:szCs w:val="24"/>
          <w:highlight w:val="none"/>
        </w:rPr>
        <w:t>　</w:t>
      </w:r>
      <w:r>
        <w:rPr>
          <w:rFonts w:ascii="Times New Roman" w:hAnsi="Times New Roman" w:eastAsia="黑体"/>
          <w:color w:val="auto"/>
          <w:sz w:val="24"/>
          <w:szCs w:val="24"/>
          <w:highlight w:val="none"/>
        </w:rPr>
        <w:t>　二、质量保修期</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根据《建设工程质量管理条例》及有关规定，工程的质量保修期如下：</w:t>
      </w:r>
    </w:p>
    <w:p>
      <w:pPr>
        <w:ind w:firstLine="480" w:firstLineChars="200"/>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1</w:t>
      </w:r>
      <w:r>
        <w:rPr>
          <w:rFonts w:hint="eastAsia" w:ascii="Times New Roman" w:hAnsi="Times New Roman" w:eastAsia="仿宋_GB2312"/>
          <w:color w:val="auto"/>
          <w:sz w:val="24"/>
          <w:szCs w:val="24"/>
          <w:highlight w:val="none"/>
        </w:rPr>
        <w:t>．</w:t>
      </w:r>
      <w:r>
        <w:rPr>
          <w:rFonts w:hint="eastAsia" w:ascii="仿宋_GB2312" w:eastAsia="仿宋_GB2312"/>
          <w:color w:val="auto"/>
          <w:sz w:val="24"/>
          <w:szCs w:val="24"/>
          <w:highlight w:val="none"/>
        </w:rPr>
        <w:t>地基基础工程和主体结构工程为设计文件规定的工程合理使用年限；</w:t>
      </w:r>
    </w:p>
    <w:p>
      <w:pPr>
        <w:spacing w:line="360" w:lineRule="auto"/>
        <w:ind w:firstLine="480" w:firstLineChars="20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2</w:t>
      </w:r>
      <w:r>
        <w:rPr>
          <w:rFonts w:hint="eastAsia" w:ascii="仿宋_GB2312" w:eastAsia="仿宋_GB2312"/>
          <w:color w:val="auto"/>
          <w:sz w:val="24"/>
          <w:szCs w:val="24"/>
          <w:highlight w:val="none"/>
        </w:rPr>
        <w:t>．</w:t>
      </w:r>
      <w:r>
        <w:rPr>
          <w:rFonts w:ascii="Times New Roman" w:hAnsi="Times New Roman" w:eastAsia="仿宋_GB2312"/>
          <w:color w:val="auto"/>
          <w:sz w:val="24"/>
          <w:szCs w:val="24"/>
          <w:highlight w:val="none"/>
        </w:rPr>
        <w:t>屋面防水工程、有防水要求的卫生间、房间和外墙面的防渗</w:t>
      </w:r>
      <w:r>
        <w:rPr>
          <w:rFonts w:hint="eastAsia" w:ascii="Times New Roman" w:hAnsi="Times New Roman" w:eastAsia="仿宋_GB2312"/>
          <w:color w:val="auto"/>
          <w:sz w:val="24"/>
          <w:szCs w:val="24"/>
          <w:highlight w:val="none"/>
        </w:rPr>
        <w:t xml:space="preserve">     为</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年；</w:t>
      </w:r>
    </w:p>
    <w:p>
      <w:pPr>
        <w:spacing w:line="360" w:lineRule="auto"/>
        <w:ind w:left="420" w:leftChars="200" w:firstLine="120" w:firstLineChars="5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3</w:t>
      </w:r>
      <w:r>
        <w:rPr>
          <w:rFonts w:hint="eastAsia" w:ascii="仿宋_GB2312" w:eastAsia="仿宋_GB2312"/>
          <w:color w:val="auto"/>
          <w:sz w:val="24"/>
          <w:szCs w:val="24"/>
          <w:highlight w:val="none"/>
        </w:rPr>
        <w:t>．</w:t>
      </w:r>
      <w:r>
        <w:rPr>
          <w:rFonts w:ascii="Times New Roman" w:hAnsi="Times New Roman" w:eastAsia="仿宋_GB2312"/>
          <w:color w:val="auto"/>
          <w:sz w:val="24"/>
          <w:szCs w:val="24"/>
          <w:highlight w:val="none"/>
        </w:rPr>
        <w:t>装修工程为</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年；</w:t>
      </w:r>
    </w:p>
    <w:p>
      <w:pPr>
        <w:spacing w:line="360" w:lineRule="auto"/>
        <w:ind w:left="420" w:leftChars="200" w:firstLine="120" w:firstLineChars="5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4</w:t>
      </w:r>
      <w:r>
        <w:rPr>
          <w:rFonts w:hint="eastAsia" w:ascii="仿宋_GB2312" w:eastAsia="仿宋_GB2312"/>
          <w:color w:val="auto"/>
          <w:sz w:val="24"/>
          <w:szCs w:val="24"/>
          <w:highlight w:val="none"/>
        </w:rPr>
        <w:t>．</w:t>
      </w:r>
      <w:r>
        <w:rPr>
          <w:rFonts w:ascii="Times New Roman" w:hAnsi="Times New Roman" w:eastAsia="仿宋_GB2312"/>
          <w:color w:val="auto"/>
          <w:sz w:val="24"/>
          <w:szCs w:val="24"/>
          <w:highlight w:val="none"/>
        </w:rPr>
        <w:t>电气管线、给排水管道、设备安装工程为</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年；</w:t>
      </w:r>
    </w:p>
    <w:p>
      <w:pPr>
        <w:spacing w:line="360" w:lineRule="auto"/>
        <w:ind w:left="420" w:leftChars="200" w:firstLine="120" w:firstLineChars="5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5</w:t>
      </w:r>
      <w:r>
        <w:rPr>
          <w:rFonts w:hint="eastAsia" w:ascii="仿宋_GB2312" w:eastAsia="仿宋_GB2312"/>
          <w:color w:val="auto"/>
          <w:sz w:val="24"/>
          <w:szCs w:val="24"/>
          <w:highlight w:val="none"/>
        </w:rPr>
        <w:t>．</w:t>
      </w:r>
      <w:r>
        <w:rPr>
          <w:rFonts w:ascii="Times New Roman" w:hAnsi="Times New Roman" w:eastAsia="仿宋_GB2312"/>
          <w:color w:val="auto"/>
          <w:sz w:val="24"/>
          <w:szCs w:val="24"/>
          <w:highlight w:val="none"/>
        </w:rPr>
        <w:t>供热与供冷系统为</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个采暖期、供冷期；</w:t>
      </w:r>
    </w:p>
    <w:p>
      <w:pPr>
        <w:spacing w:line="360" w:lineRule="auto"/>
        <w:ind w:left="420" w:leftChars="200" w:firstLine="120" w:firstLineChars="5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6</w:t>
      </w:r>
      <w:r>
        <w:rPr>
          <w:rFonts w:hint="eastAsia" w:ascii="仿宋_GB2312" w:eastAsia="仿宋_GB2312"/>
          <w:color w:val="auto"/>
          <w:sz w:val="24"/>
          <w:szCs w:val="24"/>
          <w:highlight w:val="none"/>
        </w:rPr>
        <w:t>．</w:t>
      </w:r>
      <w:r>
        <w:rPr>
          <w:rFonts w:ascii="Times New Roman" w:hAnsi="Times New Roman" w:eastAsia="仿宋_GB2312"/>
          <w:color w:val="auto"/>
          <w:sz w:val="24"/>
          <w:szCs w:val="24"/>
          <w:highlight w:val="none"/>
        </w:rPr>
        <w:t>住宅小区内的给排水设施、道路等配套工程为</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年；</w:t>
      </w:r>
    </w:p>
    <w:p>
      <w:pPr>
        <w:spacing w:line="360" w:lineRule="auto"/>
        <w:ind w:left="420" w:leftChars="200" w:firstLine="120" w:firstLineChars="5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7</w:t>
      </w:r>
      <w:r>
        <w:rPr>
          <w:rFonts w:hint="eastAsia" w:ascii="仿宋_GB2312" w:eastAsia="仿宋_GB2312"/>
          <w:color w:val="auto"/>
          <w:sz w:val="24"/>
          <w:szCs w:val="24"/>
          <w:highlight w:val="none"/>
        </w:rPr>
        <w:t>．</w:t>
      </w:r>
      <w:r>
        <w:rPr>
          <w:rFonts w:ascii="Times New Roman" w:hAnsi="Times New Roman" w:eastAsia="仿宋_GB2312"/>
          <w:color w:val="auto"/>
          <w:sz w:val="24"/>
          <w:szCs w:val="24"/>
          <w:highlight w:val="none"/>
        </w:rPr>
        <w:t>其他项目保修期限约定如下：</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质量保修期自工程竣工验收合格之日起计算。</w:t>
      </w:r>
    </w:p>
    <w:p>
      <w:pPr>
        <w:spacing w:before="156" w:beforeLines="50" w:after="156" w:afterLines="50" w:line="440" w:lineRule="exact"/>
        <w:ind w:firstLine="480" w:firstLineChars="200"/>
        <w:jc w:val="left"/>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三、缺陷责任期</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工程缺陷责任期为</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个月，缺陷责任期自工程</w:t>
      </w:r>
      <w:r>
        <w:rPr>
          <w:rFonts w:hint="eastAsia" w:ascii="Times New Roman" w:hAnsi="Times New Roman" w:eastAsia="仿宋_GB2312"/>
          <w:color w:val="auto"/>
          <w:sz w:val="24"/>
          <w:szCs w:val="24"/>
          <w:highlight w:val="none"/>
        </w:rPr>
        <w:t>通过竣工验收</w:t>
      </w:r>
      <w:r>
        <w:rPr>
          <w:rFonts w:ascii="Times New Roman" w:hAnsi="Times New Roman" w:eastAsia="仿宋_GB2312"/>
          <w:color w:val="auto"/>
          <w:sz w:val="24"/>
          <w:szCs w:val="24"/>
          <w:highlight w:val="none"/>
        </w:rPr>
        <w:t>之日起计算。单位工程先于全部工程进行验收，单位工程缺陷责任期自单位工程验收合格之日起算。</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缺陷责任期终止后，发包人应退还剩余的质量保证金。</w:t>
      </w:r>
    </w:p>
    <w:p>
      <w:pPr>
        <w:spacing w:before="156" w:beforeLines="50" w:after="156" w:afterLines="50" w:line="440" w:lineRule="exact"/>
        <w:jc w:val="left"/>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 xml:space="preserve">    四、质量保修责任</w:t>
      </w:r>
    </w:p>
    <w:p>
      <w:pPr>
        <w:spacing w:line="360" w:lineRule="auto"/>
        <w:ind w:left="105" w:leftChars="50" w:firstLine="491" w:firstLineChars="205"/>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1</w:t>
      </w:r>
      <w:r>
        <w:rPr>
          <w:rFonts w:hint="eastAsia" w:ascii="仿宋_GB2312" w:eastAsia="仿宋_GB2312"/>
          <w:color w:val="auto"/>
          <w:sz w:val="24"/>
          <w:szCs w:val="24"/>
          <w:highlight w:val="none"/>
        </w:rPr>
        <w:t>．</w:t>
      </w:r>
      <w:r>
        <w:rPr>
          <w:rFonts w:ascii="Times New Roman" w:hAnsi="Times New Roman" w:eastAsia="仿宋_GB2312"/>
          <w:color w:val="auto"/>
          <w:sz w:val="24"/>
          <w:szCs w:val="24"/>
          <w:highlight w:val="none"/>
        </w:rPr>
        <w:t>属于保修范围、内容的项目，承包人应当在接到保修通知之日起7天内派人保修。承包人不在约定期限内派人保修的，发包人可以委托他人修理。</w:t>
      </w:r>
    </w:p>
    <w:p>
      <w:pPr>
        <w:spacing w:line="360" w:lineRule="auto"/>
        <w:ind w:left="105" w:leftChars="50" w:firstLine="491" w:firstLineChars="205"/>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2</w:t>
      </w:r>
      <w:r>
        <w:rPr>
          <w:rFonts w:hint="eastAsia" w:ascii="仿宋_GB2312" w:eastAsia="仿宋_GB2312"/>
          <w:color w:val="auto"/>
          <w:sz w:val="24"/>
          <w:szCs w:val="24"/>
          <w:highlight w:val="none"/>
        </w:rPr>
        <w:t>．</w:t>
      </w:r>
      <w:r>
        <w:rPr>
          <w:rFonts w:ascii="Times New Roman" w:hAnsi="Times New Roman" w:eastAsia="仿宋_GB2312"/>
          <w:color w:val="auto"/>
          <w:sz w:val="24"/>
          <w:szCs w:val="24"/>
          <w:highlight w:val="none"/>
        </w:rPr>
        <w:t>发生紧急事故需抢修的，承包人在接到事故通知后，应当立即到达事故现场抢修。</w:t>
      </w:r>
    </w:p>
    <w:p>
      <w:pPr>
        <w:spacing w:line="360" w:lineRule="auto"/>
        <w:ind w:left="105" w:leftChars="50" w:firstLine="491" w:firstLineChars="205"/>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3</w:t>
      </w:r>
      <w:r>
        <w:rPr>
          <w:rFonts w:hint="eastAsia" w:ascii="仿宋_GB2312" w:eastAsia="仿宋_GB2312"/>
          <w:color w:val="auto"/>
          <w:sz w:val="24"/>
          <w:szCs w:val="24"/>
          <w:highlight w:val="none"/>
        </w:rPr>
        <w:t>．</w:t>
      </w:r>
      <w:r>
        <w:rPr>
          <w:rFonts w:ascii="Times New Roman" w:hAnsi="Times New Roman" w:eastAsia="仿宋_GB2312"/>
          <w:color w:val="auto"/>
          <w:sz w:val="24"/>
          <w:szCs w:val="24"/>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20" w:firstLineChars="5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4</w:t>
      </w:r>
      <w:r>
        <w:rPr>
          <w:rFonts w:hint="eastAsia" w:ascii="仿宋_GB2312" w:eastAsia="仿宋_GB2312"/>
          <w:color w:val="auto"/>
          <w:sz w:val="24"/>
          <w:szCs w:val="24"/>
          <w:highlight w:val="none"/>
        </w:rPr>
        <w:t>．</w:t>
      </w:r>
      <w:r>
        <w:rPr>
          <w:rFonts w:ascii="Times New Roman" w:hAnsi="Times New Roman" w:eastAsia="仿宋_GB2312"/>
          <w:color w:val="auto"/>
          <w:sz w:val="24"/>
          <w:szCs w:val="24"/>
          <w:highlight w:val="none"/>
        </w:rPr>
        <w:t>质量保修完成后，由发包人组织验收。</w:t>
      </w:r>
    </w:p>
    <w:p>
      <w:pPr>
        <w:spacing w:before="156" w:beforeLines="50" w:after="156" w:afterLines="50" w:line="440" w:lineRule="exact"/>
        <w:jc w:val="left"/>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　　五、保修费用</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保修费用由造成质量缺陷的责任方承担。</w:t>
      </w:r>
    </w:p>
    <w:p>
      <w:pPr>
        <w:spacing w:before="156" w:beforeLines="50" w:after="156" w:afterLines="50" w:line="440" w:lineRule="exact"/>
        <w:jc w:val="left"/>
        <w:rPr>
          <w:rFonts w:ascii="Times New Roman" w:hAnsi="Times New Roman" w:eastAsia="仿宋_GB2312"/>
          <w:color w:val="auto"/>
          <w:sz w:val="24"/>
          <w:szCs w:val="24"/>
          <w:highlight w:val="none"/>
          <w:u w:val="single"/>
        </w:rPr>
      </w:pPr>
      <w:r>
        <w:rPr>
          <w:rFonts w:ascii="Times New Roman" w:hAnsi="Times New Roman" w:eastAsia="黑体"/>
          <w:color w:val="auto"/>
          <w:sz w:val="24"/>
          <w:szCs w:val="24"/>
          <w:highlight w:val="none"/>
        </w:rPr>
        <w:t>六、双方约定的其他工程质量保修事项：</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56" w:firstLineChars="19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工程质量保修书由发包人、承包人在工程竣工验收前共同签署，作为施工合同附件，其有效期限至保修期满。</w:t>
      </w:r>
    </w:p>
    <w:p>
      <w:pPr>
        <w:spacing w:line="360" w:lineRule="auto"/>
        <w:ind w:firstLine="420"/>
        <w:rPr>
          <w:rFonts w:ascii="Times New Roman" w:hAnsi="Times New Roman" w:eastAsia="仿宋_GB2312"/>
          <w:color w:val="auto"/>
          <w:sz w:val="24"/>
          <w:szCs w:val="24"/>
          <w:highlight w:val="none"/>
        </w:rPr>
      </w:pP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发包人(公章)：</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承包人(公章)：</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地  址：</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地  址：</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法定代表人(签字)：</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法定代表人(签字)：</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委托代理人(签字)：</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委托代理人(签字)：</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电  话：</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电  话：</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传  真：</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传  真：</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开户银行：</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开户银行：</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账  号：</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账</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rPr>
        <w:t xml:space="preserve"> 号：</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邮政编码：</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邮政编码：</w:t>
      </w:r>
      <w:r>
        <w:rPr>
          <w:rFonts w:ascii="Times New Roman" w:hAnsi="Times New Roman" w:eastAsia="仿宋_GB2312"/>
          <w:color w:val="auto"/>
          <w:sz w:val="24"/>
          <w:szCs w:val="24"/>
          <w:highlight w:val="none"/>
          <w:u w:val="single"/>
        </w:rPr>
        <w:t xml:space="preserve">                   </w:t>
      </w:r>
    </w:p>
    <w:p>
      <w:pPr>
        <w:pStyle w:val="9"/>
        <w:rPr>
          <w:rFonts w:ascii="Times New Roman" w:hAnsi="Times New Roman" w:eastAsia="黑体"/>
          <w:color w:val="auto"/>
          <w:sz w:val="30"/>
          <w:szCs w:val="30"/>
          <w:highlight w:val="none"/>
        </w:rPr>
      </w:pPr>
      <w:r>
        <w:rPr>
          <w:rFonts w:ascii="Times New Roman" w:hAnsi="Times New Roman" w:eastAsia="仿宋_GB2312"/>
          <w:b w:val="0"/>
          <w:color w:val="auto"/>
          <w:sz w:val="24"/>
          <w:szCs w:val="24"/>
          <w:highlight w:val="none"/>
        </w:rPr>
        <w:br w:type="page"/>
      </w:r>
      <w:r>
        <w:rPr>
          <w:color w:val="auto"/>
          <w:highlight w:val="none"/>
        </w:rPr>
        <w:t>附件4：</w:t>
      </w:r>
    </w:p>
    <w:p>
      <w:pPr>
        <w:spacing w:before="156" w:beforeLines="50" w:after="156" w:afterLines="50" w:line="440" w:lineRule="exact"/>
        <w:jc w:val="center"/>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主要建设工程文件目录</w:t>
      </w:r>
    </w:p>
    <w:tbl>
      <w:tblPr>
        <w:tblStyle w:val="40"/>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文件名称</w:t>
            </w:r>
          </w:p>
        </w:tc>
        <w:tc>
          <w:tcPr>
            <w:tcW w:w="1276"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套数</w:t>
            </w:r>
          </w:p>
        </w:tc>
        <w:tc>
          <w:tcPr>
            <w:tcW w:w="1450"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费用</w:t>
            </w:r>
            <w:r>
              <w:rPr>
                <w:rFonts w:hint="eastAsia" w:eastAsia="仿宋_GB2312"/>
                <w:color w:val="auto"/>
                <w:kern w:val="2"/>
                <w:sz w:val="24"/>
                <w:szCs w:val="24"/>
                <w:highlight w:val="none"/>
              </w:rPr>
              <w:t>（元）</w:t>
            </w:r>
          </w:p>
        </w:tc>
        <w:tc>
          <w:tcPr>
            <w:tcW w:w="1243"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质量</w:t>
            </w:r>
          </w:p>
        </w:tc>
        <w:tc>
          <w:tcPr>
            <w:tcW w:w="1450" w:type="dxa"/>
            <w:tcBorders>
              <w:top w:val="single" w:color="auto" w:sz="12" w:space="0"/>
              <w:bottom w:val="double" w:color="auto" w:sz="6" w:space="0"/>
            </w:tcBorders>
            <w:noWrap w:val="0"/>
            <w:vAlign w:val="top"/>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_GB2312"/>
                <w:color w:val="auto"/>
                <w:sz w:val="24"/>
                <w:szCs w:val="24"/>
                <w:highlight w:val="none"/>
              </w:rPr>
            </w:pPr>
            <w:r>
              <w:rPr>
                <w:rFonts w:hint="default" w:ascii="Times New Roman" w:hAnsi="Times New Roman" w:eastAsia="仿宋_GB2312"/>
                <w:color w:val="auto"/>
                <w:sz w:val="24"/>
                <w:szCs w:val="24"/>
                <w:highlight w:val="none"/>
              </w:rPr>
              <w:t>移交时间</w:t>
            </w:r>
          </w:p>
        </w:tc>
        <w:tc>
          <w:tcPr>
            <w:tcW w:w="1667" w:type="dxa"/>
            <w:tcBorders>
              <w:top w:val="single" w:color="auto" w:sz="12" w:space="0"/>
              <w:bottom w:val="double" w:color="auto" w:sz="6" w:space="0"/>
            </w:tcBorders>
            <w:noWrap w:val="0"/>
            <w:vAlign w:val="top"/>
          </w:tcPr>
          <w:p>
            <w:pPr>
              <w:keepNext w:val="0"/>
              <w:keepLines w:val="0"/>
              <w:suppressLineNumbers w:val="0"/>
              <w:spacing w:before="0" w:beforeAutospacing="0" w:after="0" w:afterAutospacing="0" w:line="440" w:lineRule="exact"/>
              <w:ind w:left="0" w:right="0"/>
              <w:jc w:val="center"/>
              <w:rPr>
                <w:rFonts w:hint="default" w:ascii="Times New Roman" w:hAnsi="Times New Roman" w:eastAsia="仿宋_GB2312"/>
                <w:color w:val="auto"/>
                <w:sz w:val="24"/>
                <w:szCs w:val="24"/>
                <w:highlight w:val="none"/>
              </w:rPr>
            </w:pPr>
            <w:r>
              <w:rPr>
                <w:rFonts w:hint="default" w:ascii="Times New Roman" w:hAnsi="Times New Roman" w:eastAsia="仿宋_GB2312"/>
                <w:color w:val="auto"/>
                <w:sz w:val="24"/>
                <w:szCs w:val="24"/>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276"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50"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243"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50"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667"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276"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5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243"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50"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66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27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24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66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27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24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66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27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24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66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27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24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66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27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24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66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27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24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66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43"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66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27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243"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50"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66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43"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66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43"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66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43"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66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43"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66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43"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66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43"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66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7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243"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50"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66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bl>
    <w:p>
      <w:pPr>
        <w:spacing w:line="440" w:lineRule="exact"/>
        <w:rPr>
          <w:rFonts w:hint="eastAsia" w:ascii="Times New Roman" w:hAnsi="Times New Roman" w:eastAsia="仿宋_GB2312"/>
          <w:color w:val="auto"/>
          <w:sz w:val="30"/>
          <w:szCs w:val="30"/>
          <w:highlight w:val="none"/>
        </w:rPr>
      </w:pPr>
    </w:p>
    <w:p>
      <w:pPr>
        <w:pStyle w:val="9"/>
        <w:rPr>
          <w:rFonts w:ascii="Times New Roman" w:hAnsi="Times New Roman" w:eastAsia="黑体"/>
          <w:color w:val="auto"/>
          <w:sz w:val="24"/>
          <w:szCs w:val="24"/>
          <w:highlight w:val="none"/>
        </w:rPr>
      </w:pPr>
      <w:r>
        <w:rPr>
          <w:rFonts w:ascii="Times New Roman" w:hAnsi="Times New Roman" w:eastAsia="仿宋_GB2312"/>
          <w:color w:val="auto"/>
          <w:sz w:val="30"/>
          <w:szCs w:val="30"/>
          <w:highlight w:val="none"/>
        </w:rPr>
        <w:br w:type="page"/>
      </w:r>
      <w:r>
        <w:rPr>
          <w:color w:val="auto"/>
          <w:sz w:val="24"/>
          <w:szCs w:val="24"/>
          <w:highlight w:val="none"/>
        </w:rPr>
        <w:t>附</w:t>
      </w:r>
      <w:bookmarkStart w:id="844" w:name="_Toc296347226"/>
      <w:bookmarkStart w:id="845" w:name="_Toc296346728"/>
      <w:bookmarkStart w:id="846" w:name="_Toc296891267"/>
      <w:bookmarkStart w:id="847" w:name="_Toc267261698"/>
      <w:bookmarkStart w:id="848" w:name="_Toc296944566"/>
      <w:bookmarkStart w:id="849" w:name="_Toc296503227"/>
      <w:bookmarkStart w:id="850" w:name="_Toc296891055"/>
      <w:r>
        <w:rPr>
          <w:color w:val="auto"/>
          <w:sz w:val="24"/>
          <w:szCs w:val="24"/>
          <w:highlight w:val="none"/>
        </w:rPr>
        <w:t>件5：</w:t>
      </w:r>
    </w:p>
    <w:bookmarkEnd w:id="844"/>
    <w:bookmarkEnd w:id="845"/>
    <w:bookmarkEnd w:id="846"/>
    <w:bookmarkEnd w:id="847"/>
    <w:bookmarkEnd w:id="848"/>
    <w:bookmarkEnd w:id="849"/>
    <w:bookmarkEnd w:id="850"/>
    <w:p>
      <w:pPr>
        <w:spacing w:before="156" w:beforeLines="50" w:after="156" w:afterLines="50" w:line="440" w:lineRule="exact"/>
        <w:jc w:val="center"/>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承包人用于本工程施工的机械设备表</w:t>
      </w:r>
    </w:p>
    <w:tbl>
      <w:tblPr>
        <w:tblStyle w:val="40"/>
        <w:tblW w:w="93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04"/>
        <w:gridCol w:w="1347"/>
        <w:gridCol w:w="807"/>
        <w:gridCol w:w="1005"/>
        <w:gridCol w:w="836"/>
        <w:gridCol w:w="969"/>
        <w:gridCol w:w="1406"/>
        <w:gridCol w:w="969"/>
        <w:gridCol w:w="8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4" w:hRule="atLeast"/>
          <w:jc w:val="center"/>
        </w:trPr>
        <w:tc>
          <w:tcPr>
            <w:tcW w:w="1104"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序号</w:t>
            </w:r>
          </w:p>
        </w:tc>
        <w:tc>
          <w:tcPr>
            <w:tcW w:w="1347"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机械或设备名称</w:t>
            </w:r>
          </w:p>
        </w:tc>
        <w:tc>
          <w:tcPr>
            <w:tcW w:w="807"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规格型号</w:t>
            </w:r>
          </w:p>
        </w:tc>
        <w:tc>
          <w:tcPr>
            <w:tcW w:w="1005"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数量</w:t>
            </w:r>
          </w:p>
        </w:tc>
        <w:tc>
          <w:tcPr>
            <w:tcW w:w="836"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产地</w:t>
            </w:r>
          </w:p>
        </w:tc>
        <w:tc>
          <w:tcPr>
            <w:tcW w:w="969"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制造年份</w:t>
            </w:r>
          </w:p>
        </w:tc>
        <w:tc>
          <w:tcPr>
            <w:tcW w:w="1406"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额定功率(kW)</w:t>
            </w:r>
          </w:p>
        </w:tc>
        <w:tc>
          <w:tcPr>
            <w:tcW w:w="969"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生产能力</w:t>
            </w:r>
          </w:p>
        </w:tc>
        <w:tc>
          <w:tcPr>
            <w:tcW w:w="875"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8" w:hRule="atLeast"/>
          <w:jc w:val="center"/>
        </w:trPr>
        <w:tc>
          <w:tcPr>
            <w:tcW w:w="1104"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47"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07"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05"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36"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969"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06"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969"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75" w:type="dxa"/>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104"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34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07"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005"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36"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69"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06"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69"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75"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10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34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0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00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3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69"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0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69"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10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34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0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00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3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69"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0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69"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10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34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0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00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3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69"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0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69"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10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34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0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00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3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69"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0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69"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10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34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0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00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3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69"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0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69"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10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34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0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00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3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69"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0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69"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9" w:hRule="atLeast"/>
          <w:jc w:val="center"/>
        </w:trPr>
        <w:tc>
          <w:tcPr>
            <w:tcW w:w="1104"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34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0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05"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3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69"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0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69"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75"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8" w:hRule="atLeast"/>
          <w:jc w:val="center"/>
        </w:trPr>
        <w:tc>
          <w:tcPr>
            <w:tcW w:w="110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34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07"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00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3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69"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40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969"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875"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9" w:hRule="atLeast"/>
          <w:jc w:val="center"/>
        </w:trPr>
        <w:tc>
          <w:tcPr>
            <w:tcW w:w="1104"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34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0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05"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3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69"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0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69"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75"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9" w:hRule="atLeast"/>
          <w:jc w:val="center"/>
        </w:trPr>
        <w:tc>
          <w:tcPr>
            <w:tcW w:w="1104"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34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0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05"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3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69"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0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69"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75"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9" w:hRule="atLeast"/>
          <w:jc w:val="center"/>
        </w:trPr>
        <w:tc>
          <w:tcPr>
            <w:tcW w:w="1104"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34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0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05"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3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69"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0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69"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75"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9" w:hRule="atLeast"/>
          <w:jc w:val="center"/>
        </w:trPr>
        <w:tc>
          <w:tcPr>
            <w:tcW w:w="1104"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34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0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05"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3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69"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0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69"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75"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9" w:hRule="atLeast"/>
          <w:jc w:val="center"/>
        </w:trPr>
        <w:tc>
          <w:tcPr>
            <w:tcW w:w="1104"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34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0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05"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3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69"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0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69"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75"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9" w:hRule="atLeast"/>
          <w:jc w:val="center"/>
        </w:trPr>
        <w:tc>
          <w:tcPr>
            <w:tcW w:w="1104"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34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07"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005"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3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69"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1406"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969"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c>
          <w:tcPr>
            <w:tcW w:w="875" w:type="dxa"/>
            <w:noWrap w:val="0"/>
            <w:vAlign w:val="top"/>
          </w:tcPr>
          <w:p>
            <w:pPr>
              <w:keepNext w:val="0"/>
              <w:keepLines w:val="0"/>
              <w:suppressLineNumbers w:val="0"/>
              <w:spacing w:before="0" w:beforeAutospacing="0" w:after="0" w:afterAutospacing="0"/>
              <w:ind w:left="0" w:right="0"/>
              <w:rPr>
                <w:rFonts w:hint="default" w:eastAsia="仿宋_GB2312"/>
                <w:color w:val="auto"/>
                <w:sz w:val="30"/>
                <w:szCs w:val="30"/>
                <w:highlight w:val="none"/>
              </w:rPr>
            </w:pPr>
          </w:p>
        </w:tc>
      </w:tr>
    </w:tbl>
    <w:p>
      <w:pPr>
        <w:pStyle w:val="9"/>
        <w:rPr>
          <w:color w:val="auto"/>
          <w:highlight w:val="none"/>
        </w:rPr>
      </w:pPr>
    </w:p>
    <w:p>
      <w:pPr>
        <w:pStyle w:val="9"/>
        <w:rPr>
          <w:color w:val="auto"/>
          <w:highlight w:val="none"/>
        </w:rPr>
      </w:pPr>
    </w:p>
    <w:p>
      <w:pPr>
        <w:rPr>
          <w:color w:val="auto"/>
          <w:highlight w:val="none"/>
        </w:rPr>
      </w:pPr>
    </w:p>
    <w:p>
      <w:pPr>
        <w:pStyle w:val="9"/>
        <w:rPr>
          <w:color w:val="auto"/>
          <w:highlight w:val="none"/>
        </w:rPr>
      </w:pPr>
      <w:r>
        <w:rPr>
          <w:color w:val="auto"/>
          <w:highlight w:val="none"/>
        </w:rPr>
        <w:t>附</w:t>
      </w:r>
      <w:bookmarkStart w:id="851" w:name="_Toc267261699"/>
      <w:bookmarkStart w:id="852" w:name="_Toc296944567"/>
      <w:bookmarkStart w:id="853" w:name="_Toc296503228"/>
      <w:bookmarkStart w:id="854" w:name="_Toc296891056"/>
      <w:bookmarkStart w:id="855" w:name="_Toc296891268"/>
      <w:bookmarkStart w:id="856" w:name="_Toc296346729"/>
      <w:bookmarkStart w:id="857" w:name="_Toc296347227"/>
      <w:r>
        <w:rPr>
          <w:color w:val="auto"/>
          <w:highlight w:val="none"/>
        </w:rPr>
        <w:t>件6：</w:t>
      </w:r>
    </w:p>
    <w:bookmarkEnd w:id="851"/>
    <w:bookmarkEnd w:id="852"/>
    <w:bookmarkEnd w:id="853"/>
    <w:bookmarkEnd w:id="854"/>
    <w:bookmarkEnd w:id="855"/>
    <w:bookmarkEnd w:id="856"/>
    <w:bookmarkEnd w:id="857"/>
    <w:p>
      <w:pPr>
        <w:spacing w:before="156" w:beforeLines="50" w:after="156" w:afterLines="50" w:line="440" w:lineRule="exact"/>
        <w:jc w:val="center"/>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承包人主要施工管理人员表</w:t>
      </w:r>
    </w:p>
    <w:tbl>
      <w:tblPr>
        <w:tblStyle w:val="40"/>
        <w:tblW w:w="927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70"/>
        <w:gridCol w:w="1341"/>
        <w:gridCol w:w="1072"/>
        <w:gridCol w:w="1072"/>
        <w:gridCol w:w="40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1" w:hRule="atLeast"/>
          <w:jc w:val="center"/>
        </w:trPr>
        <w:tc>
          <w:tcPr>
            <w:tcW w:w="1770"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名    称</w:t>
            </w:r>
          </w:p>
        </w:tc>
        <w:tc>
          <w:tcPr>
            <w:tcW w:w="1341"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姓名</w:t>
            </w:r>
          </w:p>
        </w:tc>
        <w:tc>
          <w:tcPr>
            <w:tcW w:w="1072"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职务</w:t>
            </w:r>
          </w:p>
        </w:tc>
        <w:tc>
          <w:tcPr>
            <w:tcW w:w="1072"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职称</w:t>
            </w:r>
          </w:p>
        </w:tc>
        <w:tc>
          <w:tcPr>
            <w:tcW w:w="4022"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7" w:hRule="atLeast"/>
          <w:jc w:val="center"/>
        </w:trPr>
        <w:tc>
          <w:tcPr>
            <w:tcW w:w="9277" w:type="dxa"/>
            <w:gridSpan w:val="5"/>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770" w:type="dxa"/>
            <w:tcBorders>
              <w:top w:val="nil"/>
              <w:bottom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项目主管</w:t>
            </w:r>
          </w:p>
        </w:tc>
        <w:tc>
          <w:tcPr>
            <w:tcW w:w="1341"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22"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770" w:type="dxa"/>
            <w:tcBorders>
              <w:top w:val="single" w:color="auto" w:sz="6" w:space="0"/>
              <w:bottom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41"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2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770" w:type="dxa"/>
            <w:tcBorders>
              <w:top w:val="nil"/>
              <w:bottom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其他人员</w:t>
            </w:r>
          </w:p>
        </w:tc>
        <w:tc>
          <w:tcPr>
            <w:tcW w:w="1341"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2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770" w:type="dxa"/>
            <w:tcBorders>
              <w:top w:val="nil"/>
              <w:bottom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41"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2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9277" w:type="dxa"/>
            <w:gridSpan w:val="5"/>
            <w:tcBorders>
              <w:top w:val="sing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770" w:type="dxa"/>
            <w:tcBorders>
              <w:top w:val="sing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项目经理</w:t>
            </w:r>
          </w:p>
        </w:tc>
        <w:tc>
          <w:tcPr>
            <w:tcW w:w="1341"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2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770" w:type="dxa"/>
            <w:tcBorders>
              <w:top w:val="sing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项目副经理</w:t>
            </w:r>
          </w:p>
        </w:tc>
        <w:tc>
          <w:tcPr>
            <w:tcW w:w="1341"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2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770" w:type="dxa"/>
            <w:tcBorders>
              <w:top w:val="sing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技术负责人</w:t>
            </w:r>
          </w:p>
        </w:tc>
        <w:tc>
          <w:tcPr>
            <w:tcW w:w="1341"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2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770" w:type="dxa"/>
            <w:tcBorders>
              <w:top w:val="sing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造价管理</w:t>
            </w:r>
          </w:p>
        </w:tc>
        <w:tc>
          <w:tcPr>
            <w:tcW w:w="1341"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2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770" w:type="dxa"/>
            <w:tcBorders>
              <w:top w:val="sing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质量管理</w:t>
            </w:r>
          </w:p>
        </w:tc>
        <w:tc>
          <w:tcPr>
            <w:tcW w:w="1341"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2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770" w:type="dxa"/>
            <w:tcBorders>
              <w:top w:val="sing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材料管理</w:t>
            </w:r>
          </w:p>
        </w:tc>
        <w:tc>
          <w:tcPr>
            <w:tcW w:w="1341"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2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770" w:type="dxa"/>
            <w:tcBorders>
              <w:top w:val="sing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计划管理</w:t>
            </w:r>
          </w:p>
        </w:tc>
        <w:tc>
          <w:tcPr>
            <w:tcW w:w="1341"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2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770" w:type="dxa"/>
            <w:tcBorders>
              <w:top w:val="sing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安全管理</w:t>
            </w:r>
          </w:p>
        </w:tc>
        <w:tc>
          <w:tcPr>
            <w:tcW w:w="1341"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2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770" w:type="dxa"/>
            <w:vMerge w:val="restart"/>
            <w:tcBorders>
              <w:top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其他人员</w:t>
            </w:r>
          </w:p>
        </w:tc>
        <w:tc>
          <w:tcPr>
            <w:tcW w:w="1341"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2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770" w:type="dxa"/>
            <w:vMerge w:val="continue"/>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41" w:type="dxa"/>
            <w:tcBorders>
              <w:bottom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tcBorders>
              <w:bottom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tcBorders>
              <w:bottom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22" w:type="dxa"/>
            <w:tcBorders>
              <w:bottom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770" w:type="dxa"/>
            <w:vMerge w:val="continue"/>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41"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2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770" w:type="dxa"/>
            <w:vMerge w:val="continue"/>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41"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402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6" w:hRule="atLeast"/>
          <w:jc w:val="center"/>
        </w:trPr>
        <w:tc>
          <w:tcPr>
            <w:tcW w:w="1770" w:type="dxa"/>
            <w:vMerge w:val="continue"/>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41"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07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4022"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7" w:hRule="atLeast"/>
          <w:jc w:val="center"/>
        </w:trPr>
        <w:tc>
          <w:tcPr>
            <w:tcW w:w="1770" w:type="dxa"/>
            <w:vMerge w:val="continue"/>
            <w:tcBorders>
              <w:bottom w:val="single" w:color="auto" w:sz="12"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41" w:type="dxa"/>
            <w:tcBorders>
              <w:bottom w:val="single" w:color="auto" w:sz="12"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072" w:type="dxa"/>
            <w:tcBorders>
              <w:bottom w:val="single" w:color="auto" w:sz="12"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072" w:type="dxa"/>
            <w:tcBorders>
              <w:bottom w:val="single" w:color="auto" w:sz="12"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4022" w:type="dxa"/>
            <w:tcBorders>
              <w:bottom w:val="single" w:color="auto" w:sz="12"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bl>
    <w:p>
      <w:pPr>
        <w:pStyle w:val="9"/>
        <w:rPr>
          <w:rFonts w:ascii="Times New Roman" w:hAnsi="Times New Roman" w:eastAsia="黑体"/>
          <w:color w:val="auto"/>
          <w:sz w:val="30"/>
          <w:szCs w:val="30"/>
          <w:highlight w:val="none"/>
        </w:rPr>
      </w:pPr>
      <w:r>
        <w:rPr>
          <w:rFonts w:ascii="Times New Roman" w:hAnsi="Times New Roman" w:eastAsia="仿宋_GB2312"/>
          <w:color w:val="auto"/>
          <w:sz w:val="30"/>
          <w:szCs w:val="30"/>
          <w:highlight w:val="none"/>
        </w:rPr>
        <w:br w:type="page"/>
      </w:r>
      <w:r>
        <w:rPr>
          <w:color w:val="auto"/>
          <w:highlight w:val="none"/>
        </w:rPr>
        <w:t>附</w:t>
      </w:r>
      <w:bookmarkStart w:id="858" w:name="_Toc296891057"/>
      <w:bookmarkStart w:id="859" w:name="_Toc296347228"/>
      <w:bookmarkStart w:id="860" w:name="_Toc296346730"/>
      <w:bookmarkStart w:id="861" w:name="_Toc296944568"/>
      <w:bookmarkStart w:id="862" w:name="_Toc296503229"/>
      <w:bookmarkStart w:id="863" w:name="_Toc296891269"/>
      <w:r>
        <w:rPr>
          <w:color w:val="auto"/>
          <w:highlight w:val="none"/>
        </w:rPr>
        <w:t>件7：</w:t>
      </w:r>
    </w:p>
    <w:bookmarkEnd w:id="858"/>
    <w:bookmarkEnd w:id="859"/>
    <w:bookmarkEnd w:id="860"/>
    <w:bookmarkEnd w:id="861"/>
    <w:bookmarkEnd w:id="862"/>
    <w:bookmarkEnd w:id="863"/>
    <w:p>
      <w:pPr>
        <w:spacing w:before="156" w:beforeLines="50" w:after="156" w:afterLines="50" w:line="440" w:lineRule="exact"/>
        <w:jc w:val="center"/>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分包人主要施工管理人员表</w:t>
      </w:r>
    </w:p>
    <w:tbl>
      <w:tblPr>
        <w:tblStyle w:val="40"/>
        <w:tblW w:w="93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92"/>
        <w:gridCol w:w="1358"/>
        <w:gridCol w:w="1086"/>
        <w:gridCol w:w="1086"/>
        <w:gridCol w:w="407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6" w:hRule="atLeast"/>
          <w:jc w:val="center"/>
        </w:trPr>
        <w:tc>
          <w:tcPr>
            <w:tcW w:w="1792"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名    称</w:t>
            </w:r>
          </w:p>
        </w:tc>
        <w:tc>
          <w:tcPr>
            <w:tcW w:w="1358"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姓名</w:t>
            </w:r>
          </w:p>
        </w:tc>
        <w:tc>
          <w:tcPr>
            <w:tcW w:w="1086"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职务</w:t>
            </w:r>
          </w:p>
        </w:tc>
        <w:tc>
          <w:tcPr>
            <w:tcW w:w="1086"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职称</w:t>
            </w:r>
          </w:p>
        </w:tc>
        <w:tc>
          <w:tcPr>
            <w:tcW w:w="4074" w:type="dxa"/>
            <w:tcBorders>
              <w:top w:val="single" w:color="auto" w:sz="12" w:space="0"/>
              <w:bottom w:val="doub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1" w:hRule="atLeast"/>
          <w:jc w:val="center"/>
        </w:trPr>
        <w:tc>
          <w:tcPr>
            <w:tcW w:w="9396" w:type="dxa"/>
            <w:gridSpan w:val="5"/>
            <w:tcBorders>
              <w:top w:val="doub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jc w:val="center"/>
        </w:trPr>
        <w:tc>
          <w:tcPr>
            <w:tcW w:w="1792" w:type="dxa"/>
            <w:tcBorders>
              <w:top w:val="nil"/>
              <w:bottom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项目主管</w:t>
            </w:r>
          </w:p>
        </w:tc>
        <w:tc>
          <w:tcPr>
            <w:tcW w:w="1358"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74" w:type="dxa"/>
            <w:tcBorders>
              <w:top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jc w:val="center"/>
        </w:trPr>
        <w:tc>
          <w:tcPr>
            <w:tcW w:w="1792" w:type="dxa"/>
            <w:tcBorders>
              <w:top w:val="single" w:color="auto" w:sz="6" w:space="0"/>
              <w:bottom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8"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7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jc w:val="center"/>
        </w:trPr>
        <w:tc>
          <w:tcPr>
            <w:tcW w:w="1792" w:type="dxa"/>
            <w:tcBorders>
              <w:top w:val="nil"/>
              <w:bottom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其他人员</w:t>
            </w:r>
          </w:p>
        </w:tc>
        <w:tc>
          <w:tcPr>
            <w:tcW w:w="1358"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7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jc w:val="center"/>
        </w:trPr>
        <w:tc>
          <w:tcPr>
            <w:tcW w:w="1792" w:type="dxa"/>
            <w:tcBorders>
              <w:top w:val="nil"/>
              <w:bottom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8"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7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jc w:val="center"/>
        </w:trPr>
        <w:tc>
          <w:tcPr>
            <w:tcW w:w="9396" w:type="dxa"/>
            <w:gridSpan w:val="5"/>
            <w:tcBorders>
              <w:top w:val="sing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jc w:val="center"/>
        </w:trPr>
        <w:tc>
          <w:tcPr>
            <w:tcW w:w="1792" w:type="dxa"/>
            <w:tcBorders>
              <w:top w:val="sing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项目经理</w:t>
            </w:r>
          </w:p>
        </w:tc>
        <w:tc>
          <w:tcPr>
            <w:tcW w:w="1358"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7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jc w:val="center"/>
        </w:trPr>
        <w:tc>
          <w:tcPr>
            <w:tcW w:w="1792" w:type="dxa"/>
            <w:tcBorders>
              <w:top w:val="sing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项目副经理</w:t>
            </w:r>
          </w:p>
        </w:tc>
        <w:tc>
          <w:tcPr>
            <w:tcW w:w="1358"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7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jc w:val="center"/>
        </w:trPr>
        <w:tc>
          <w:tcPr>
            <w:tcW w:w="1792" w:type="dxa"/>
            <w:tcBorders>
              <w:top w:val="sing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技术负责人</w:t>
            </w:r>
          </w:p>
        </w:tc>
        <w:tc>
          <w:tcPr>
            <w:tcW w:w="1358"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7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jc w:val="center"/>
        </w:trPr>
        <w:tc>
          <w:tcPr>
            <w:tcW w:w="1792" w:type="dxa"/>
            <w:tcBorders>
              <w:top w:val="sing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造价管理</w:t>
            </w:r>
          </w:p>
        </w:tc>
        <w:tc>
          <w:tcPr>
            <w:tcW w:w="1358"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7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jc w:val="center"/>
        </w:trPr>
        <w:tc>
          <w:tcPr>
            <w:tcW w:w="1792" w:type="dxa"/>
            <w:tcBorders>
              <w:top w:val="sing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质量管理</w:t>
            </w:r>
          </w:p>
        </w:tc>
        <w:tc>
          <w:tcPr>
            <w:tcW w:w="1358"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7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jc w:val="center"/>
        </w:trPr>
        <w:tc>
          <w:tcPr>
            <w:tcW w:w="1792" w:type="dxa"/>
            <w:tcBorders>
              <w:top w:val="sing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材料管理</w:t>
            </w:r>
          </w:p>
        </w:tc>
        <w:tc>
          <w:tcPr>
            <w:tcW w:w="1358"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7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jc w:val="center"/>
        </w:trPr>
        <w:tc>
          <w:tcPr>
            <w:tcW w:w="1792" w:type="dxa"/>
            <w:tcBorders>
              <w:top w:val="sing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计划管理</w:t>
            </w:r>
          </w:p>
        </w:tc>
        <w:tc>
          <w:tcPr>
            <w:tcW w:w="1358"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7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jc w:val="center"/>
        </w:trPr>
        <w:tc>
          <w:tcPr>
            <w:tcW w:w="1792" w:type="dxa"/>
            <w:tcBorders>
              <w:top w:val="single" w:color="auto" w:sz="6" w:space="0"/>
              <w:bottom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安全管理</w:t>
            </w:r>
          </w:p>
        </w:tc>
        <w:tc>
          <w:tcPr>
            <w:tcW w:w="1358"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7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jc w:val="center"/>
        </w:trPr>
        <w:tc>
          <w:tcPr>
            <w:tcW w:w="1792" w:type="dxa"/>
            <w:vMerge w:val="restart"/>
            <w:tcBorders>
              <w:top w:val="single" w:color="auto" w:sz="6"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其他人员</w:t>
            </w:r>
          </w:p>
        </w:tc>
        <w:tc>
          <w:tcPr>
            <w:tcW w:w="1358"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7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jc w:val="center"/>
        </w:trPr>
        <w:tc>
          <w:tcPr>
            <w:tcW w:w="1792" w:type="dxa"/>
            <w:vMerge w:val="continue"/>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8" w:type="dxa"/>
            <w:tcBorders>
              <w:bottom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tcBorders>
              <w:bottom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tcBorders>
              <w:bottom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74" w:type="dxa"/>
            <w:tcBorders>
              <w:bottom w:val="nil"/>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jc w:val="center"/>
        </w:trPr>
        <w:tc>
          <w:tcPr>
            <w:tcW w:w="1792" w:type="dxa"/>
            <w:vMerge w:val="continue"/>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8"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7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jc w:val="center"/>
        </w:trPr>
        <w:tc>
          <w:tcPr>
            <w:tcW w:w="1792" w:type="dxa"/>
            <w:vMerge w:val="continue"/>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8"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7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1" w:hRule="atLeast"/>
          <w:jc w:val="center"/>
        </w:trPr>
        <w:tc>
          <w:tcPr>
            <w:tcW w:w="1792" w:type="dxa"/>
            <w:vMerge w:val="continue"/>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8"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086"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4074" w:type="dxa"/>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1" w:hRule="atLeast"/>
          <w:jc w:val="center"/>
        </w:trPr>
        <w:tc>
          <w:tcPr>
            <w:tcW w:w="1792" w:type="dxa"/>
            <w:vMerge w:val="continue"/>
            <w:tcBorders>
              <w:bottom w:val="single" w:color="auto" w:sz="12"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58" w:type="dxa"/>
            <w:tcBorders>
              <w:bottom w:val="single" w:color="auto" w:sz="12"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086" w:type="dxa"/>
            <w:tcBorders>
              <w:bottom w:val="single" w:color="auto" w:sz="12"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1086" w:type="dxa"/>
            <w:tcBorders>
              <w:bottom w:val="single" w:color="auto" w:sz="12"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c>
          <w:tcPr>
            <w:tcW w:w="4074" w:type="dxa"/>
            <w:tcBorders>
              <w:bottom w:val="single" w:color="auto" w:sz="12" w:space="0"/>
            </w:tcBorders>
            <w:noWrap w:val="0"/>
            <w:vAlign w:val="center"/>
          </w:tcPr>
          <w:p>
            <w:pPr>
              <w:pStyle w:val="3"/>
              <w:keepNext/>
              <w:keepLines w:val="0"/>
              <w:suppressLineNumbers w:val="0"/>
              <w:spacing w:before="0" w:beforeAutospacing="0" w:after="0" w:afterAutospacing="0" w:line="440" w:lineRule="exact"/>
              <w:ind w:left="63" w:right="63"/>
              <w:rPr>
                <w:rFonts w:hint="default" w:eastAsia="仿宋_GB2312"/>
                <w:color w:val="auto"/>
                <w:kern w:val="2"/>
                <w:sz w:val="30"/>
                <w:szCs w:val="30"/>
                <w:highlight w:val="none"/>
              </w:rPr>
            </w:pPr>
          </w:p>
        </w:tc>
      </w:tr>
    </w:tbl>
    <w:p>
      <w:pPr>
        <w:pStyle w:val="9"/>
        <w:rPr>
          <w:rFonts w:ascii="Times New Roman" w:hAnsi="Times New Roman" w:eastAsia="黑体"/>
          <w:color w:val="auto"/>
          <w:sz w:val="30"/>
          <w:szCs w:val="30"/>
          <w:highlight w:val="none"/>
        </w:rPr>
      </w:pPr>
      <w:r>
        <w:rPr>
          <w:rFonts w:ascii="Times New Roman" w:hAnsi="Times New Roman" w:eastAsia="仿宋_GB2312"/>
          <w:color w:val="auto"/>
          <w:sz w:val="30"/>
          <w:szCs w:val="30"/>
          <w:highlight w:val="none"/>
        </w:rPr>
        <w:br w:type="page"/>
      </w:r>
      <w:bookmarkStart w:id="864" w:name="_Toc267261701"/>
      <w:r>
        <w:rPr>
          <w:color w:val="auto"/>
          <w:highlight w:val="none"/>
        </w:rPr>
        <w:t>附</w:t>
      </w:r>
      <w:bookmarkStart w:id="865" w:name="_Toc296891059"/>
      <w:bookmarkStart w:id="866" w:name="_Toc296346732"/>
      <w:bookmarkStart w:id="867" w:name="_Toc296503231"/>
      <w:bookmarkStart w:id="868" w:name="_Toc296944570"/>
      <w:bookmarkStart w:id="869" w:name="_Toc296891271"/>
      <w:bookmarkStart w:id="870" w:name="_Toc296347230"/>
      <w:r>
        <w:rPr>
          <w:color w:val="auto"/>
          <w:highlight w:val="none"/>
        </w:rPr>
        <w:t>件8：</w:t>
      </w:r>
    </w:p>
    <w:bookmarkEnd w:id="864"/>
    <w:bookmarkEnd w:id="865"/>
    <w:bookmarkEnd w:id="866"/>
    <w:bookmarkEnd w:id="867"/>
    <w:bookmarkEnd w:id="868"/>
    <w:bookmarkEnd w:id="869"/>
    <w:bookmarkEnd w:id="870"/>
    <w:p>
      <w:pPr>
        <w:spacing w:before="156" w:beforeLines="50" w:after="156" w:afterLines="50" w:line="440" w:lineRule="exact"/>
        <w:jc w:val="center"/>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履约担保</w:t>
      </w:r>
    </w:p>
    <w:p>
      <w:pPr>
        <w:spacing w:line="440" w:lineRule="exac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ab/>
      </w:r>
      <w:r>
        <w:rPr>
          <w:rFonts w:ascii="Times New Roman" w:hAnsi="Times New Roman" w:eastAsia="仿宋_GB2312"/>
          <w:color w:val="auto"/>
          <w:sz w:val="24"/>
          <w:szCs w:val="24"/>
          <w:highlight w:val="none"/>
        </w:rPr>
        <w:t>（发包人名称）：</w:t>
      </w:r>
    </w:p>
    <w:p>
      <w:pPr>
        <w:spacing w:line="440" w:lineRule="exact"/>
        <w:rPr>
          <w:rFonts w:ascii="Times New Roman" w:hAnsi="Times New Roman" w:eastAsia="仿宋_GB2312"/>
          <w:color w:val="auto"/>
          <w:sz w:val="24"/>
          <w:szCs w:val="24"/>
          <w:highlight w:val="none"/>
        </w:rPr>
      </w:pP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鉴于</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（发包人名称，以下简称“发包人”）与</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（承包人名称）（以下称“承包人”）于</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年</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月</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日就</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（工程名称）施工及有关事项协商一致共同签订《建设工程施工合同》。我方愿意无条件地、不可撤销地就承包人履行与你方签订的合同，向你方提供连带责任担保。 </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 担保金额人民币（大写）</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元（¥</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 担保有效期自你方与承包人签订的合同生效之日起至你方签发或应签发工程接收证书之日止。</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4. 你方和承包人按合同约定变更合同时，我方承担本担保规定的义务不变。</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5. 因本保函发生的纠纷，可由双方协商解决，协商不成的，任何一方均可提请</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仲裁委员会仲裁。</w:t>
      </w:r>
    </w:p>
    <w:p>
      <w:pPr>
        <w:spacing w:line="360" w:lineRule="auto"/>
        <w:ind w:firstLine="480" w:firstLineChars="200"/>
        <w:rPr>
          <w:rFonts w:hint="eastAsia"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6. 本保函自我方法定代表人（或其授权代理人）签字并加盖公章之日起生效。</w:t>
      </w:r>
    </w:p>
    <w:p>
      <w:pPr>
        <w:spacing w:line="360" w:lineRule="auto"/>
        <w:rPr>
          <w:rFonts w:hint="eastAsia" w:ascii="Times New Roman" w:hAnsi="Times New Roman" w:eastAsia="仿宋_GB2312"/>
          <w:color w:val="auto"/>
          <w:sz w:val="24"/>
          <w:szCs w:val="24"/>
          <w:highlight w:val="none"/>
        </w:rPr>
      </w:pP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担 保 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（盖单位章）</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法定代表人或其委托代理人：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（签字）</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地    址：</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邮政编码：</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电    话：</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传    真：</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u w:val="single"/>
        </w:rPr>
      </w:pPr>
    </w:p>
    <w:p>
      <w:pPr>
        <w:spacing w:line="360" w:lineRule="auto"/>
        <w:ind w:left="1899" w:hanging="1519" w:hangingChars="633"/>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w:t>
      </w:r>
      <w:r>
        <w:rPr>
          <w:rFonts w:hint="eastAsia"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年</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月</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日</w:t>
      </w:r>
    </w:p>
    <w:p>
      <w:pPr>
        <w:pStyle w:val="9"/>
        <w:rPr>
          <w:color w:val="auto"/>
          <w:highlight w:val="none"/>
        </w:rPr>
      </w:pPr>
      <w:r>
        <w:rPr>
          <w:color w:val="auto"/>
          <w:highlight w:val="none"/>
        </w:rPr>
        <w:t>附</w:t>
      </w:r>
      <w:bookmarkStart w:id="871" w:name="_Toc296347231"/>
      <w:bookmarkStart w:id="872" w:name="_Toc296891272"/>
      <w:bookmarkStart w:id="873" w:name="_Toc267261702"/>
      <w:bookmarkStart w:id="874" w:name="_Toc296503232"/>
      <w:bookmarkStart w:id="875" w:name="_Toc296891060"/>
      <w:bookmarkStart w:id="876" w:name="_Toc296944571"/>
      <w:bookmarkStart w:id="877" w:name="_Toc296346733"/>
      <w:r>
        <w:rPr>
          <w:color w:val="auto"/>
          <w:highlight w:val="none"/>
        </w:rPr>
        <w:t>件9 ：</w:t>
      </w:r>
    </w:p>
    <w:bookmarkEnd w:id="871"/>
    <w:bookmarkEnd w:id="872"/>
    <w:bookmarkEnd w:id="873"/>
    <w:bookmarkEnd w:id="874"/>
    <w:bookmarkEnd w:id="875"/>
    <w:bookmarkEnd w:id="876"/>
    <w:bookmarkEnd w:id="877"/>
    <w:p>
      <w:pPr>
        <w:spacing w:before="156" w:beforeLines="50" w:after="156" w:afterLines="50" w:line="440" w:lineRule="exact"/>
        <w:jc w:val="center"/>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预付款担保</w:t>
      </w:r>
    </w:p>
    <w:p>
      <w:pPr>
        <w:spacing w:line="360" w:lineRule="auto"/>
        <w:rPr>
          <w:rFonts w:ascii="Times New Roman" w:hAnsi="Times New Roman" w:eastAsia="仿宋_GB2312"/>
          <w:color w:val="auto"/>
          <w:sz w:val="30"/>
          <w:szCs w:val="30"/>
          <w:highlight w:val="none"/>
        </w:rPr>
      </w:pPr>
      <w:r>
        <w:rPr>
          <w:rFonts w:ascii="Times New Roman" w:hAnsi="Times New Roman" w:eastAsia="仿宋_GB2312"/>
          <w:color w:val="auto"/>
          <w:sz w:val="30"/>
          <w:szCs w:val="30"/>
          <w:highlight w:val="none"/>
          <w:u w:val="single"/>
        </w:rPr>
        <w:t xml:space="preserve">            </w:t>
      </w:r>
      <w:r>
        <w:rPr>
          <w:rFonts w:ascii="Times New Roman" w:hAnsi="Times New Roman" w:eastAsia="仿宋_GB2312"/>
          <w:color w:val="auto"/>
          <w:sz w:val="30"/>
          <w:szCs w:val="30"/>
          <w:highlight w:val="none"/>
          <w:u w:val="single"/>
        </w:rPr>
        <w:tab/>
      </w:r>
      <w:r>
        <w:rPr>
          <w:rFonts w:ascii="Times New Roman" w:hAnsi="Times New Roman" w:eastAsia="仿宋_GB2312"/>
          <w:color w:val="auto"/>
          <w:sz w:val="30"/>
          <w:szCs w:val="30"/>
          <w:highlight w:val="none"/>
          <w:u w:val="single"/>
        </w:rPr>
        <w:tab/>
      </w:r>
      <w:r>
        <w:rPr>
          <w:rFonts w:ascii="Times New Roman" w:hAnsi="Times New Roman" w:eastAsia="仿宋_GB2312"/>
          <w:color w:val="auto"/>
          <w:sz w:val="30"/>
          <w:szCs w:val="30"/>
          <w:highlight w:val="none"/>
          <w:u w:val="single"/>
        </w:rPr>
        <w:t xml:space="preserve"> </w:t>
      </w:r>
      <w:r>
        <w:rPr>
          <w:rFonts w:ascii="Times New Roman" w:hAnsi="Times New Roman" w:eastAsia="仿宋_GB2312"/>
          <w:color w:val="auto"/>
          <w:sz w:val="30"/>
          <w:szCs w:val="30"/>
          <w:highlight w:val="none"/>
        </w:rPr>
        <w:t xml:space="preserve"> （发包人名称）：</w:t>
      </w:r>
    </w:p>
    <w:p>
      <w:pPr>
        <w:spacing w:line="360" w:lineRule="auto"/>
        <w:ind w:firstLine="480" w:firstLineChars="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根据</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（承包人名称）（以下称</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承包人</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）与</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（发包人名称）（以下简称</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发包人</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于     年    月    日签订的</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 xml:space="preserve"> （工程名称）《建设工程施工合同》，承包人按约定的金额向</w:t>
      </w:r>
      <w:r>
        <w:rPr>
          <w:rFonts w:hint="eastAsia" w:ascii="Times New Roman" w:hAnsi="Times New Roman" w:eastAsia="仿宋_GB2312"/>
          <w:color w:val="auto"/>
          <w:sz w:val="24"/>
          <w:szCs w:val="24"/>
          <w:highlight w:val="none"/>
        </w:rPr>
        <w:t>你方</w:t>
      </w:r>
      <w:r>
        <w:rPr>
          <w:rFonts w:ascii="Times New Roman" w:hAnsi="Times New Roman" w:eastAsia="仿宋_GB2312"/>
          <w:color w:val="auto"/>
          <w:sz w:val="24"/>
          <w:szCs w:val="24"/>
          <w:highlight w:val="none"/>
        </w:rPr>
        <w:t>提交一份预付款担保，即有权得到</w:t>
      </w:r>
      <w:r>
        <w:rPr>
          <w:rFonts w:hint="eastAsia" w:ascii="Times New Roman" w:hAnsi="Times New Roman" w:eastAsia="仿宋_GB2312"/>
          <w:color w:val="auto"/>
          <w:sz w:val="24"/>
          <w:szCs w:val="24"/>
          <w:highlight w:val="none"/>
        </w:rPr>
        <w:t>你方</w:t>
      </w:r>
      <w:r>
        <w:rPr>
          <w:rFonts w:ascii="Times New Roman" w:hAnsi="Times New Roman" w:eastAsia="仿宋_GB2312"/>
          <w:color w:val="auto"/>
          <w:sz w:val="24"/>
          <w:szCs w:val="24"/>
          <w:highlight w:val="none"/>
        </w:rPr>
        <w:t>支付相等金额的预付款。我方愿意就你方提供给承包人的预付款</w:t>
      </w:r>
      <w:r>
        <w:rPr>
          <w:rFonts w:hint="eastAsia" w:ascii="Times New Roman" w:hAnsi="Times New Roman" w:eastAsia="仿宋_GB2312"/>
          <w:color w:val="auto"/>
          <w:sz w:val="24"/>
          <w:szCs w:val="24"/>
          <w:highlight w:val="none"/>
        </w:rPr>
        <w:t>为承包人</w:t>
      </w:r>
      <w:r>
        <w:rPr>
          <w:rFonts w:ascii="Times New Roman" w:hAnsi="Times New Roman" w:eastAsia="仿宋_GB2312"/>
          <w:color w:val="auto"/>
          <w:sz w:val="24"/>
          <w:szCs w:val="24"/>
          <w:highlight w:val="none"/>
        </w:rPr>
        <w:t>提供连带责任担保。</w:t>
      </w:r>
    </w:p>
    <w:p>
      <w:pPr>
        <w:spacing w:line="360" w:lineRule="auto"/>
        <w:ind w:firstLine="480" w:firstLineChars="20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1. </w:t>
      </w:r>
      <w:r>
        <w:rPr>
          <w:rFonts w:ascii="Times New Roman" w:hAnsi="Times New Roman" w:eastAsia="仿宋_GB2312"/>
          <w:color w:val="auto"/>
          <w:sz w:val="24"/>
          <w:szCs w:val="24"/>
          <w:highlight w:val="none"/>
        </w:rPr>
        <w:t>担保金额人民币（大写）</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rPr>
        <w:t>元</w:t>
      </w:r>
      <w:r>
        <w:rPr>
          <w:rFonts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line="360" w:lineRule="auto"/>
        <w:ind w:firstLine="480" w:firstLineChars="20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2. </w:t>
      </w:r>
      <w:r>
        <w:rPr>
          <w:rFonts w:ascii="Times New Roman" w:hAnsi="Times New Roman" w:eastAsia="仿宋_GB2312"/>
          <w:color w:val="auto"/>
          <w:sz w:val="24"/>
          <w:szCs w:val="24"/>
          <w:highlight w:val="none"/>
        </w:rPr>
        <w:t>担保有效期自预付款支付给承包人起生效，至</w:t>
      </w:r>
      <w:r>
        <w:rPr>
          <w:rFonts w:hint="eastAsia" w:ascii="Times New Roman" w:hAnsi="Times New Roman" w:eastAsia="仿宋_GB2312"/>
          <w:color w:val="auto"/>
          <w:sz w:val="24"/>
          <w:szCs w:val="24"/>
          <w:highlight w:val="none"/>
        </w:rPr>
        <w:t>你方</w:t>
      </w:r>
      <w:r>
        <w:rPr>
          <w:rFonts w:ascii="Times New Roman" w:hAnsi="Times New Roman" w:eastAsia="仿宋_GB2312"/>
          <w:color w:val="auto"/>
          <w:sz w:val="24"/>
          <w:szCs w:val="24"/>
          <w:highlight w:val="none"/>
        </w:rPr>
        <w:t>签发的</w:t>
      </w:r>
      <w:r>
        <w:rPr>
          <w:rFonts w:hint="eastAsia" w:ascii="Times New Roman" w:hAnsi="Times New Roman" w:eastAsia="仿宋_GB2312"/>
          <w:color w:val="auto"/>
          <w:sz w:val="24"/>
          <w:szCs w:val="24"/>
          <w:highlight w:val="none"/>
        </w:rPr>
        <w:t>进</w:t>
      </w:r>
      <w:r>
        <w:rPr>
          <w:rFonts w:ascii="Times New Roman" w:hAnsi="Times New Roman" w:eastAsia="仿宋_GB2312"/>
          <w:color w:val="auto"/>
          <w:sz w:val="24"/>
          <w:szCs w:val="24"/>
          <w:highlight w:val="none"/>
        </w:rPr>
        <w:t>度款支付证书说明已完全扣清止。</w:t>
      </w:r>
    </w:p>
    <w:p>
      <w:pPr>
        <w:spacing w:line="360" w:lineRule="auto"/>
        <w:ind w:firstLine="480" w:firstLineChars="200"/>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3. </w:t>
      </w:r>
      <w:r>
        <w:rPr>
          <w:rFonts w:ascii="Times New Roman" w:hAnsi="Times New Roman" w:eastAsia="仿宋_GB2312"/>
          <w:color w:val="auto"/>
          <w:sz w:val="24"/>
          <w:szCs w:val="24"/>
          <w:highlight w:val="none"/>
        </w:rPr>
        <w:t>在本保函有效期内，因承包人违反合同约定的义务而要求</w:t>
      </w:r>
      <w:r>
        <w:rPr>
          <w:rFonts w:hint="eastAsia" w:ascii="Times New Roman" w:hAnsi="Times New Roman" w:eastAsia="仿宋_GB2312"/>
          <w:color w:val="auto"/>
          <w:sz w:val="24"/>
          <w:szCs w:val="24"/>
          <w:highlight w:val="none"/>
        </w:rPr>
        <w:t>收</w:t>
      </w:r>
      <w:r>
        <w:rPr>
          <w:rFonts w:ascii="Times New Roman" w:hAnsi="Times New Roman" w:eastAsia="仿宋_GB2312"/>
          <w:color w:val="auto"/>
          <w:sz w:val="24"/>
          <w:szCs w:val="24"/>
          <w:highlight w:val="none"/>
        </w:rPr>
        <w:t>回预付款时，我方在收到你方的书面通知后，在７天内无条件支付。但本保函的担保金额，在任何时候不应超过预付款金额减去</w:t>
      </w:r>
      <w:r>
        <w:rPr>
          <w:rFonts w:hint="eastAsia" w:ascii="Times New Roman" w:hAnsi="Times New Roman" w:eastAsia="仿宋_GB2312"/>
          <w:color w:val="auto"/>
          <w:sz w:val="24"/>
          <w:szCs w:val="24"/>
          <w:highlight w:val="none"/>
        </w:rPr>
        <w:t>你方</w:t>
      </w:r>
      <w:r>
        <w:rPr>
          <w:rFonts w:ascii="Times New Roman" w:hAnsi="Times New Roman" w:eastAsia="仿宋_GB2312"/>
          <w:color w:val="auto"/>
          <w:sz w:val="24"/>
          <w:szCs w:val="24"/>
          <w:highlight w:val="none"/>
        </w:rPr>
        <w:t>按合同约定在向承包人签发的进度款支付证书中扣除的金额。</w:t>
      </w:r>
    </w:p>
    <w:p>
      <w:pPr>
        <w:spacing w:line="360" w:lineRule="auto"/>
        <w:ind w:firstLine="480" w:firstLineChars="200"/>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4. 你方</w:t>
      </w:r>
      <w:r>
        <w:rPr>
          <w:rFonts w:ascii="Times New Roman" w:hAnsi="Times New Roman" w:eastAsia="仿宋_GB2312"/>
          <w:color w:val="auto"/>
          <w:sz w:val="24"/>
          <w:szCs w:val="24"/>
          <w:highlight w:val="none"/>
        </w:rPr>
        <w:t>和承包人按合同约定变更合同时，我方承担本保函规定的义务不变。</w:t>
      </w:r>
    </w:p>
    <w:p>
      <w:pPr>
        <w:spacing w:line="360" w:lineRule="auto"/>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5. </w:t>
      </w:r>
      <w:r>
        <w:rPr>
          <w:rFonts w:ascii="Times New Roman" w:hAnsi="Times New Roman" w:eastAsia="仿宋_GB2312"/>
          <w:color w:val="auto"/>
          <w:sz w:val="24"/>
          <w:szCs w:val="24"/>
          <w:highlight w:val="none"/>
        </w:rPr>
        <w:t>因本保函发生的纠纷，可由双方协商解决，协商不成的，任何一方均可提请</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仲裁委员会仲裁。</w:t>
      </w:r>
    </w:p>
    <w:p>
      <w:pPr>
        <w:spacing w:line="360" w:lineRule="auto"/>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6. </w:t>
      </w:r>
      <w:r>
        <w:rPr>
          <w:rFonts w:ascii="Times New Roman" w:hAnsi="Times New Roman" w:eastAsia="仿宋_GB2312"/>
          <w:color w:val="auto"/>
          <w:sz w:val="24"/>
          <w:szCs w:val="24"/>
          <w:highlight w:val="none"/>
        </w:rPr>
        <w:t>本保函自我方法定代表人（或其授权代理人）签字并加盖公章之日起生效。</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担保人：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（盖单位章）</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法定代表人或其委托代理人：</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（签字）</w:t>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地    址：</w:t>
      </w:r>
      <w:r>
        <w:rPr>
          <w:rFonts w:ascii="Times New Roman" w:hAnsi="Times New Roman" w:eastAsia="仿宋_GB2312"/>
          <w:color w:val="auto"/>
          <w:sz w:val="24"/>
          <w:szCs w:val="24"/>
          <w:highlight w:val="none"/>
          <w:u w:val="single"/>
        </w:rPr>
        <w:tab/>
      </w:r>
      <w:r>
        <w:rPr>
          <w:rFonts w:ascii="Times New Roman" w:hAnsi="Times New Roman" w:eastAsia="仿宋_GB2312"/>
          <w:color w:val="auto"/>
          <w:sz w:val="24"/>
          <w:szCs w:val="24"/>
          <w:highlight w:val="none"/>
          <w:u w:val="single"/>
        </w:rPr>
        <w:tab/>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ab/>
      </w:r>
      <w:r>
        <w:rPr>
          <w:rFonts w:ascii="Times New Roman" w:hAnsi="Times New Roman" w:eastAsia="仿宋_GB2312"/>
          <w:color w:val="auto"/>
          <w:sz w:val="24"/>
          <w:szCs w:val="24"/>
          <w:highlight w:val="none"/>
          <w:u w:val="single"/>
        </w:rPr>
        <w:tab/>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ab/>
      </w:r>
      <w:r>
        <w:rPr>
          <w:rFonts w:ascii="Times New Roman" w:hAnsi="Times New Roman" w:eastAsia="仿宋_GB2312"/>
          <w:color w:val="auto"/>
          <w:sz w:val="24"/>
          <w:szCs w:val="24"/>
          <w:highlight w:val="none"/>
          <w:u w:val="single"/>
        </w:rPr>
        <w:tab/>
      </w:r>
      <w:r>
        <w:rPr>
          <w:rFonts w:ascii="Times New Roman" w:hAnsi="Times New Roman" w:eastAsia="仿宋_GB2312"/>
          <w:color w:val="auto"/>
          <w:sz w:val="24"/>
          <w:szCs w:val="24"/>
          <w:highlight w:val="none"/>
          <w:u w:val="single"/>
        </w:rPr>
        <w:tab/>
      </w:r>
    </w:p>
    <w:p>
      <w:pPr>
        <w:spacing w:line="360" w:lineRule="auto"/>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邮政编码：</w:t>
      </w:r>
      <w:r>
        <w:rPr>
          <w:rFonts w:ascii="Times New Roman" w:hAnsi="Times New Roman" w:eastAsia="仿宋_GB2312"/>
          <w:color w:val="auto"/>
          <w:sz w:val="24"/>
          <w:szCs w:val="24"/>
          <w:highlight w:val="none"/>
          <w:u w:val="single"/>
        </w:rPr>
        <w:tab/>
      </w:r>
      <w:r>
        <w:rPr>
          <w:rFonts w:ascii="Times New Roman" w:hAnsi="Times New Roman" w:eastAsia="仿宋_GB2312"/>
          <w:color w:val="auto"/>
          <w:sz w:val="24"/>
          <w:szCs w:val="24"/>
          <w:highlight w:val="none"/>
          <w:u w:val="single"/>
        </w:rPr>
        <w:tab/>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ab/>
      </w:r>
      <w:r>
        <w:rPr>
          <w:rFonts w:ascii="Times New Roman" w:hAnsi="Times New Roman" w:eastAsia="仿宋_GB2312"/>
          <w:color w:val="auto"/>
          <w:sz w:val="24"/>
          <w:szCs w:val="24"/>
          <w:highlight w:val="none"/>
          <w:u w:val="single"/>
        </w:rPr>
        <w:tab/>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ab/>
      </w:r>
      <w:r>
        <w:rPr>
          <w:rFonts w:ascii="Times New Roman" w:hAnsi="Times New Roman" w:eastAsia="仿宋_GB2312"/>
          <w:color w:val="auto"/>
          <w:sz w:val="24"/>
          <w:szCs w:val="24"/>
          <w:highlight w:val="none"/>
          <w:u w:val="single"/>
        </w:rPr>
        <w:tab/>
      </w:r>
      <w:r>
        <w:rPr>
          <w:rFonts w:ascii="Times New Roman" w:hAnsi="Times New Roman" w:eastAsia="仿宋_GB2312"/>
          <w:color w:val="auto"/>
          <w:sz w:val="24"/>
          <w:szCs w:val="24"/>
          <w:highlight w:val="none"/>
          <w:u w:val="single"/>
        </w:rPr>
        <w:tab/>
      </w:r>
    </w:p>
    <w:p>
      <w:pPr>
        <w:spacing w:line="360" w:lineRule="auto"/>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电    话：</w:t>
      </w:r>
      <w:r>
        <w:rPr>
          <w:rFonts w:ascii="Times New Roman" w:hAnsi="Times New Roman" w:eastAsia="仿宋_GB2312"/>
          <w:color w:val="auto"/>
          <w:sz w:val="24"/>
          <w:szCs w:val="24"/>
          <w:highlight w:val="none"/>
          <w:u w:val="single"/>
        </w:rPr>
        <w:tab/>
      </w:r>
      <w:r>
        <w:rPr>
          <w:rFonts w:ascii="Times New Roman" w:hAnsi="Times New Roman" w:eastAsia="仿宋_GB2312"/>
          <w:color w:val="auto"/>
          <w:sz w:val="24"/>
          <w:szCs w:val="24"/>
          <w:highlight w:val="none"/>
          <w:u w:val="single"/>
        </w:rPr>
        <w:tab/>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ab/>
      </w:r>
      <w:r>
        <w:rPr>
          <w:rFonts w:ascii="Times New Roman" w:hAnsi="Times New Roman" w:eastAsia="仿宋_GB2312"/>
          <w:color w:val="auto"/>
          <w:sz w:val="24"/>
          <w:szCs w:val="24"/>
          <w:highlight w:val="none"/>
          <w:u w:val="single"/>
        </w:rPr>
        <w:tab/>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ab/>
      </w:r>
      <w:r>
        <w:rPr>
          <w:rFonts w:ascii="Times New Roman" w:hAnsi="Times New Roman" w:eastAsia="仿宋_GB2312"/>
          <w:color w:val="auto"/>
          <w:sz w:val="24"/>
          <w:szCs w:val="24"/>
          <w:highlight w:val="none"/>
          <w:u w:val="single"/>
        </w:rPr>
        <w:tab/>
      </w:r>
      <w:r>
        <w:rPr>
          <w:rFonts w:ascii="Times New Roman" w:hAnsi="Times New Roman" w:eastAsia="仿宋_GB2312"/>
          <w:color w:val="auto"/>
          <w:sz w:val="24"/>
          <w:szCs w:val="24"/>
          <w:highlight w:val="none"/>
          <w:u w:val="single"/>
        </w:rPr>
        <w:tab/>
      </w:r>
    </w:p>
    <w:p>
      <w:pPr>
        <w:spacing w:line="360" w:lineRule="auto"/>
        <w:rPr>
          <w:rFonts w:ascii="Times New Roman" w:hAnsi="Times New Roman" w:eastAsia="仿宋_GB2312"/>
          <w:color w:val="auto"/>
          <w:sz w:val="24"/>
          <w:szCs w:val="24"/>
          <w:highlight w:val="none"/>
          <w:u w:val="single"/>
        </w:rPr>
      </w:pPr>
      <w:r>
        <w:rPr>
          <w:rFonts w:ascii="Times New Roman" w:hAnsi="Times New Roman" w:eastAsia="仿宋_GB2312"/>
          <w:color w:val="auto"/>
          <w:sz w:val="24"/>
          <w:szCs w:val="24"/>
          <w:highlight w:val="none"/>
        </w:rPr>
        <w:t>传    真：</w:t>
      </w:r>
      <w:r>
        <w:rPr>
          <w:rFonts w:ascii="Times New Roman" w:hAnsi="Times New Roman" w:eastAsia="仿宋_GB2312"/>
          <w:color w:val="auto"/>
          <w:sz w:val="24"/>
          <w:szCs w:val="24"/>
          <w:highlight w:val="none"/>
          <w:u w:val="single"/>
        </w:rPr>
        <w:tab/>
      </w:r>
      <w:r>
        <w:rPr>
          <w:rFonts w:ascii="Times New Roman" w:hAnsi="Times New Roman" w:eastAsia="仿宋_GB2312"/>
          <w:color w:val="auto"/>
          <w:sz w:val="24"/>
          <w:szCs w:val="24"/>
          <w:highlight w:val="none"/>
          <w:u w:val="single"/>
        </w:rPr>
        <w:tab/>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ab/>
      </w:r>
      <w:r>
        <w:rPr>
          <w:rFonts w:ascii="Times New Roman" w:hAnsi="Times New Roman" w:eastAsia="仿宋_GB2312"/>
          <w:color w:val="auto"/>
          <w:sz w:val="24"/>
          <w:szCs w:val="24"/>
          <w:highlight w:val="none"/>
          <w:u w:val="single"/>
        </w:rPr>
        <w:tab/>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ab/>
      </w:r>
      <w:r>
        <w:rPr>
          <w:rFonts w:ascii="Times New Roman" w:hAnsi="Times New Roman" w:eastAsia="仿宋_GB2312"/>
          <w:color w:val="auto"/>
          <w:sz w:val="24"/>
          <w:szCs w:val="24"/>
          <w:highlight w:val="none"/>
          <w:u w:val="single"/>
        </w:rPr>
        <w:tab/>
      </w:r>
      <w:r>
        <w:rPr>
          <w:rFonts w:ascii="Times New Roman" w:hAnsi="Times New Roman" w:eastAsia="仿宋_GB2312"/>
          <w:color w:val="auto"/>
          <w:sz w:val="24"/>
          <w:szCs w:val="24"/>
          <w:highlight w:val="none"/>
          <w:u w:val="single"/>
        </w:rPr>
        <w:tab/>
      </w:r>
    </w:p>
    <w:p>
      <w:pPr>
        <w:spacing w:line="360" w:lineRule="auto"/>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年</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月</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日</w:t>
      </w:r>
    </w:p>
    <w:p>
      <w:pPr>
        <w:pStyle w:val="9"/>
        <w:rPr>
          <w:rFonts w:ascii="Times New Roman" w:hAnsi="Times New Roman" w:eastAsia="黑体"/>
          <w:color w:val="auto"/>
          <w:sz w:val="30"/>
          <w:szCs w:val="30"/>
          <w:highlight w:val="none"/>
        </w:rPr>
      </w:pPr>
      <w:r>
        <w:rPr>
          <w:rFonts w:ascii="Times New Roman" w:hAnsi="Times New Roman" w:eastAsia="仿宋_GB2312"/>
          <w:b w:val="0"/>
          <w:color w:val="auto"/>
          <w:sz w:val="24"/>
          <w:szCs w:val="24"/>
          <w:highlight w:val="none"/>
        </w:rPr>
        <w:br w:type="page"/>
      </w:r>
      <w:r>
        <w:rPr>
          <w:color w:val="auto"/>
          <w:highlight w:val="none"/>
        </w:rPr>
        <w:t>附</w:t>
      </w:r>
      <w:bookmarkStart w:id="878" w:name="_Toc296891061"/>
      <w:bookmarkStart w:id="879" w:name="_Toc296891273"/>
      <w:bookmarkStart w:id="880" w:name="_Toc296944572"/>
      <w:bookmarkStart w:id="881" w:name="_Toc296346734"/>
      <w:bookmarkStart w:id="882" w:name="_Toc296347232"/>
      <w:bookmarkStart w:id="883" w:name="_Toc296503233"/>
      <w:r>
        <w:rPr>
          <w:color w:val="auto"/>
          <w:highlight w:val="none"/>
        </w:rPr>
        <w:t xml:space="preserve">件10:  </w:t>
      </w:r>
    </w:p>
    <w:bookmarkEnd w:id="878"/>
    <w:bookmarkEnd w:id="879"/>
    <w:bookmarkEnd w:id="880"/>
    <w:bookmarkEnd w:id="881"/>
    <w:bookmarkEnd w:id="882"/>
    <w:bookmarkEnd w:id="883"/>
    <w:p>
      <w:pPr>
        <w:spacing w:before="156" w:beforeLines="50" w:after="156" w:afterLines="50" w:line="440" w:lineRule="exact"/>
        <w:jc w:val="center"/>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支付担保</w:t>
      </w:r>
    </w:p>
    <w:p>
      <w:pPr>
        <w:spacing w:line="440" w:lineRule="exact"/>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（承包人）：</w:t>
      </w:r>
    </w:p>
    <w:p>
      <w:pPr>
        <w:spacing w:line="440" w:lineRule="exact"/>
        <w:jc w:val="left"/>
        <w:rPr>
          <w:rFonts w:ascii="Times New Roman" w:hAnsi="Times New Roman" w:eastAsia="仿宋_GB2312"/>
          <w:color w:val="auto"/>
          <w:sz w:val="24"/>
          <w:szCs w:val="24"/>
          <w:highlight w:val="none"/>
        </w:rPr>
      </w:pP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鉴于你方作为承包人已经与</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（发包人名称）（以下称</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发包人</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）于</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年</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月</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日签订了</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（工程名称）《建设工程施工合同》（以下称</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主合同</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），应发包人的申请，我方愿就发包人履行主合同约定的工程款支付义务以保证的方式向你方提供如下担保：</w:t>
      </w:r>
    </w:p>
    <w:p>
      <w:pPr>
        <w:spacing w:before="156" w:beforeLines="50" w:after="156" w:afterLines="50" w:line="440" w:lineRule="exact"/>
        <w:jc w:val="left"/>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一、保证的范围及保证金额</w:t>
      </w:r>
    </w:p>
    <w:p>
      <w:pPr>
        <w:spacing w:line="360" w:lineRule="auto"/>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1. </w:t>
      </w:r>
      <w:r>
        <w:rPr>
          <w:rFonts w:ascii="Times New Roman" w:hAnsi="Times New Roman" w:eastAsia="仿宋_GB2312"/>
          <w:color w:val="auto"/>
          <w:sz w:val="24"/>
          <w:szCs w:val="24"/>
          <w:highlight w:val="none"/>
        </w:rPr>
        <w:t>我方的保证范围是主合同约定的工程款。</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2. </w:t>
      </w:r>
      <w:r>
        <w:rPr>
          <w:rFonts w:ascii="Times New Roman" w:hAnsi="Times New Roman" w:eastAsia="仿宋_GB2312"/>
          <w:color w:val="auto"/>
          <w:sz w:val="24"/>
          <w:szCs w:val="24"/>
          <w:highlight w:val="none"/>
        </w:rPr>
        <w:t>本保函所称主合同约定的工程款是指主合同约定的除工程质量保证金以外的合同价款。</w:t>
      </w:r>
    </w:p>
    <w:p>
      <w:pPr>
        <w:spacing w:line="360" w:lineRule="auto"/>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3. </w:t>
      </w:r>
      <w:r>
        <w:rPr>
          <w:rFonts w:ascii="Times New Roman" w:hAnsi="Times New Roman" w:eastAsia="仿宋_GB2312"/>
          <w:color w:val="auto"/>
          <w:sz w:val="24"/>
          <w:szCs w:val="24"/>
          <w:highlight w:val="none"/>
        </w:rPr>
        <w:t>我方保证的金额是主合同约定的工程款的</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%，数额最高不超过人民币元（大写：</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w:t>
      </w:r>
    </w:p>
    <w:p>
      <w:pPr>
        <w:spacing w:before="156" w:beforeLines="50" w:after="156" w:afterLines="50" w:line="440" w:lineRule="exact"/>
        <w:jc w:val="left"/>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二、保证的方式及保证期间</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1. </w:t>
      </w:r>
      <w:r>
        <w:rPr>
          <w:rFonts w:ascii="Times New Roman" w:hAnsi="Times New Roman" w:eastAsia="仿宋_GB2312"/>
          <w:color w:val="auto"/>
          <w:sz w:val="24"/>
          <w:szCs w:val="24"/>
          <w:highlight w:val="none"/>
        </w:rPr>
        <w:t>我方保证的方式为：连带责任保证。</w:t>
      </w:r>
    </w:p>
    <w:p>
      <w:pPr>
        <w:spacing w:line="360" w:lineRule="auto"/>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2. </w:t>
      </w:r>
      <w:r>
        <w:rPr>
          <w:rFonts w:ascii="Times New Roman" w:hAnsi="Times New Roman" w:eastAsia="仿宋_GB2312"/>
          <w:color w:val="auto"/>
          <w:sz w:val="24"/>
          <w:szCs w:val="24"/>
          <w:highlight w:val="none"/>
        </w:rPr>
        <w:t>我方保证的期间为：自本合同生效之日起至主合同约定的工程款支付完毕之日后</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日内。</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3. </w:t>
      </w:r>
      <w:r>
        <w:rPr>
          <w:rFonts w:ascii="Times New Roman" w:hAnsi="Times New Roman" w:eastAsia="仿宋_GB2312"/>
          <w:color w:val="auto"/>
          <w:sz w:val="24"/>
          <w:szCs w:val="24"/>
          <w:highlight w:val="none"/>
        </w:rPr>
        <w:t>你方与发包人协议变更工程款支付日期的，经我方书面同意后，保证期间按照变更后的支付日期做相应调整。</w:t>
      </w:r>
    </w:p>
    <w:p>
      <w:pPr>
        <w:spacing w:before="156" w:beforeLines="50" w:after="156" w:afterLines="50" w:line="440" w:lineRule="exact"/>
        <w:jc w:val="left"/>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三、承担保证责任的形式</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我方承担保证责任的形式是代为支付。发包人未按主合同约定向你方支付工程款的，由我方在保证金额内代为支付。</w:t>
      </w:r>
    </w:p>
    <w:p>
      <w:pPr>
        <w:spacing w:before="156" w:beforeLines="50" w:after="156" w:afterLines="50" w:line="440" w:lineRule="exact"/>
        <w:jc w:val="left"/>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四、代偿的安排</w:t>
      </w:r>
    </w:p>
    <w:p>
      <w:pPr>
        <w:spacing w:line="360" w:lineRule="auto"/>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1. </w:t>
      </w:r>
      <w:r>
        <w:rPr>
          <w:rFonts w:ascii="Times New Roman" w:hAnsi="Times New Roman" w:eastAsia="仿宋_GB2312"/>
          <w:color w:val="auto"/>
          <w:sz w:val="24"/>
          <w:szCs w:val="24"/>
          <w:highlight w:val="none"/>
        </w:rPr>
        <w:t>你方要求我方承担保证责任的，应向我方发出书面索赔通知及发包人未支付主合同约定工程款的证明材料。索赔通知应写明要求索赔的金额，支付款项应到达的账号。</w:t>
      </w:r>
    </w:p>
    <w:p>
      <w:pPr>
        <w:spacing w:line="360" w:lineRule="auto"/>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2. </w:t>
      </w:r>
      <w:r>
        <w:rPr>
          <w:rFonts w:ascii="Times New Roman" w:hAnsi="Times New Roman" w:eastAsia="仿宋_GB2312"/>
          <w:color w:val="auto"/>
          <w:sz w:val="24"/>
          <w:szCs w:val="24"/>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3. </w:t>
      </w:r>
      <w:r>
        <w:rPr>
          <w:rFonts w:ascii="Times New Roman" w:hAnsi="Times New Roman" w:eastAsia="仿宋_GB2312"/>
          <w:color w:val="auto"/>
          <w:sz w:val="24"/>
          <w:szCs w:val="24"/>
          <w:highlight w:val="none"/>
        </w:rPr>
        <w:t>我方收到你方的书面索赔通知及相应的证明材料后７天内无条件支付。</w:t>
      </w:r>
    </w:p>
    <w:p>
      <w:pPr>
        <w:spacing w:before="156" w:beforeLines="50" w:after="156" w:afterLines="50" w:line="440" w:lineRule="exact"/>
        <w:jc w:val="left"/>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五、保证责任的解除</w:t>
      </w:r>
    </w:p>
    <w:p>
      <w:pPr>
        <w:spacing w:line="360" w:lineRule="auto"/>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1. </w:t>
      </w:r>
      <w:r>
        <w:rPr>
          <w:rFonts w:ascii="Times New Roman" w:hAnsi="Times New Roman" w:eastAsia="仿宋_GB2312"/>
          <w:color w:val="auto"/>
          <w:sz w:val="24"/>
          <w:szCs w:val="24"/>
          <w:highlight w:val="none"/>
        </w:rPr>
        <w:t>在本保函承诺的保证期间内，你方未书面向我方主张保证责任的，自保证期间届满次日起，我方保证责任解除。</w:t>
      </w:r>
    </w:p>
    <w:p>
      <w:pPr>
        <w:spacing w:line="360" w:lineRule="auto"/>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2. </w:t>
      </w:r>
      <w:r>
        <w:rPr>
          <w:rFonts w:ascii="Times New Roman" w:hAnsi="Times New Roman" w:eastAsia="仿宋_GB2312"/>
          <w:color w:val="auto"/>
          <w:sz w:val="24"/>
          <w:szCs w:val="24"/>
          <w:highlight w:val="none"/>
        </w:rPr>
        <w:t>发包人按主合同约定履行了工程款的全部支付义务的，自本保函承诺的保证期间届满次日起，我方保证责任解除。</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3. </w:t>
      </w:r>
      <w:r>
        <w:rPr>
          <w:rFonts w:ascii="Times New Roman" w:hAnsi="Times New Roman" w:eastAsia="仿宋_GB2312"/>
          <w:color w:val="auto"/>
          <w:sz w:val="24"/>
          <w:szCs w:val="24"/>
          <w:highlight w:val="none"/>
        </w:rPr>
        <w:t>我方按照本保函向你方履行保证责任所支付金额达到本保函保证金额时，自我方向你方支付（支付款项从我方账户划出）之日起，保证责任即解除。</w:t>
      </w:r>
    </w:p>
    <w:p>
      <w:pPr>
        <w:spacing w:line="360" w:lineRule="auto"/>
        <w:ind w:firstLine="480" w:firstLineChars="200"/>
        <w:jc w:val="left"/>
        <w:rPr>
          <w:rFonts w:hint="eastAsia"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4. </w:t>
      </w:r>
      <w:r>
        <w:rPr>
          <w:rFonts w:ascii="Times New Roman" w:hAnsi="Times New Roman" w:eastAsia="仿宋_GB2312"/>
          <w:color w:val="auto"/>
          <w:sz w:val="24"/>
          <w:szCs w:val="24"/>
          <w:highlight w:val="none"/>
        </w:rPr>
        <w:t>按照法律法规的规定或出现应解除我方保证责任的其他情形的，我方在本保函项下的保证责任亦解除。</w:t>
      </w:r>
    </w:p>
    <w:p>
      <w:pPr>
        <w:spacing w:line="360" w:lineRule="auto"/>
        <w:jc w:val="left"/>
        <w:rPr>
          <w:rFonts w:hint="eastAsia" w:ascii="Times New Roman" w:hAnsi="Times New Roman" w:eastAsia="仿宋_GB2312"/>
          <w:color w:val="auto"/>
          <w:sz w:val="24"/>
          <w:szCs w:val="24"/>
          <w:highlight w:val="none"/>
        </w:rPr>
      </w:pPr>
    </w:p>
    <w:p>
      <w:pPr>
        <w:spacing w:line="360" w:lineRule="auto"/>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5. </w:t>
      </w:r>
      <w:r>
        <w:rPr>
          <w:rFonts w:ascii="Times New Roman" w:hAnsi="Times New Roman" w:eastAsia="仿宋_GB2312"/>
          <w:color w:val="auto"/>
          <w:sz w:val="24"/>
          <w:szCs w:val="24"/>
          <w:highlight w:val="none"/>
        </w:rPr>
        <w:t>我方解除保证责任后，你方应自我方保证责任解除之日起</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个工作日内，将本保函原件返还我方。</w:t>
      </w:r>
    </w:p>
    <w:p>
      <w:pPr>
        <w:spacing w:before="156" w:beforeLines="50" w:after="156" w:afterLines="50" w:line="440" w:lineRule="exact"/>
        <w:jc w:val="left"/>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六、免责条款</w:t>
      </w:r>
    </w:p>
    <w:p>
      <w:pPr>
        <w:spacing w:line="360" w:lineRule="auto"/>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1. </w:t>
      </w:r>
      <w:r>
        <w:rPr>
          <w:rFonts w:ascii="Times New Roman" w:hAnsi="Times New Roman" w:eastAsia="仿宋_GB2312"/>
          <w:color w:val="auto"/>
          <w:sz w:val="24"/>
          <w:szCs w:val="24"/>
          <w:highlight w:val="none"/>
        </w:rPr>
        <w:t>因你方违约致使发包人不能履行义务的，我方不承担保证责任。</w:t>
      </w:r>
    </w:p>
    <w:p>
      <w:pPr>
        <w:spacing w:line="360" w:lineRule="auto"/>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2. </w:t>
      </w:r>
      <w:r>
        <w:rPr>
          <w:rFonts w:ascii="Times New Roman" w:hAnsi="Times New Roman" w:eastAsia="仿宋_GB2312"/>
          <w:color w:val="auto"/>
          <w:sz w:val="24"/>
          <w:szCs w:val="24"/>
          <w:highlight w:val="none"/>
        </w:rPr>
        <w:t>依照法律法规的规定或你方与发包人的另行约定，免除发包人部分或全部义务的，我方亦免除其相应的保证责任。</w:t>
      </w:r>
    </w:p>
    <w:p>
      <w:pPr>
        <w:spacing w:line="360" w:lineRule="auto"/>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3. </w:t>
      </w:r>
      <w:r>
        <w:rPr>
          <w:rFonts w:ascii="Times New Roman" w:hAnsi="Times New Roman" w:eastAsia="仿宋_GB2312"/>
          <w:color w:val="auto"/>
          <w:sz w:val="24"/>
          <w:szCs w:val="24"/>
          <w:highlight w:val="none"/>
        </w:rPr>
        <w:t>你方与发包人协议变更主合同的，如加重发包人责任致使我方保证责任加重的，需征得我方书面同意，否则我方不再承担因此而加重部分的保证责任，但主合同第10条</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变更</w:t>
      </w:r>
      <w:r>
        <w:rPr>
          <w:rFonts w:hint="eastAsia" w:ascii="Times New Roman" w:hAnsi="Times New Roman" w:eastAsia="仿宋_GB2312"/>
          <w:color w:val="auto"/>
          <w:sz w:val="24"/>
          <w:szCs w:val="24"/>
          <w:highlight w:val="none"/>
        </w:rPr>
        <w:t>〕</w:t>
      </w:r>
      <w:r>
        <w:rPr>
          <w:rFonts w:ascii="Times New Roman" w:hAnsi="Times New Roman" w:eastAsia="仿宋_GB2312"/>
          <w:color w:val="auto"/>
          <w:sz w:val="24"/>
          <w:szCs w:val="24"/>
          <w:highlight w:val="none"/>
        </w:rPr>
        <w:t>约定的变更不受本款限制。</w:t>
      </w:r>
    </w:p>
    <w:p>
      <w:pPr>
        <w:spacing w:line="360" w:lineRule="auto"/>
        <w:ind w:firstLine="480" w:firstLineChars="200"/>
        <w:jc w:val="left"/>
        <w:rPr>
          <w:rFonts w:ascii="Times New Roman" w:hAnsi="Times New Roman" w:eastAsia="仿宋_GB2312"/>
          <w:color w:val="auto"/>
          <w:sz w:val="24"/>
          <w:szCs w:val="24"/>
          <w:highlight w:val="none"/>
        </w:rPr>
      </w:pPr>
      <w:r>
        <w:rPr>
          <w:rFonts w:hint="eastAsia" w:ascii="Times New Roman" w:hAnsi="Times New Roman" w:eastAsia="仿宋_GB2312"/>
          <w:color w:val="auto"/>
          <w:sz w:val="24"/>
          <w:szCs w:val="24"/>
          <w:highlight w:val="none"/>
        </w:rPr>
        <w:t xml:space="preserve">4. </w:t>
      </w:r>
      <w:r>
        <w:rPr>
          <w:rFonts w:ascii="Times New Roman" w:hAnsi="Times New Roman" w:eastAsia="仿宋_GB2312"/>
          <w:color w:val="auto"/>
          <w:sz w:val="24"/>
          <w:szCs w:val="24"/>
          <w:highlight w:val="none"/>
        </w:rPr>
        <w:t>因不可抗力造成发包人不能履行义务的，我方不承担保证责任。</w:t>
      </w:r>
    </w:p>
    <w:p>
      <w:pPr>
        <w:spacing w:before="156" w:beforeLines="50" w:after="156" w:afterLines="50" w:line="440" w:lineRule="exact"/>
        <w:jc w:val="left"/>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七、争议解决</w:t>
      </w:r>
    </w:p>
    <w:p>
      <w:pPr>
        <w:spacing w:after="120" w:line="360" w:lineRule="auto"/>
        <w:ind w:firstLine="480" w:firstLineChars="200"/>
        <w:rPr>
          <w:rFonts w:ascii="Times New Roman" w:hAnsi="Times New Roman" w:eastAsia="黑体"/>
          <w:color w:val="auto"/>
          <w:sz w:val="24"/>
          <w:szCs w:val="24"/>
          <w:highlight w:val="none"/>
        </w:rPr>
      </w:pPr>
      <w:r>
        <w:rPr>
          <w:rFonts w:ascii="Times New Roman" w:hAnsi="Times New Roman" w:eastAsia="仿宋_GB2312"/>
          <w:color w:val="auto"/>
          <w:sz w:val="24"/>
          <w:szCs w:val="24"/>
          <w:highlight w:val="none"/>
        </w:rPr>
        <w:t>因本保函</w:t>
      </w:r>
      <w:r>
        <w:rPr>
          <w:rFonts w:hint="eastAsia" w:ascii="Times New Roman" w:hAnsi="Times New Roman" w:eastAsia="仿宋_GB2312"/>
          <w:color w:val="auto"/>
          <w:sz w:val="24"/>
          <w:szCs w:val="24"/>
          <w:highlight w:val="none"/>
        </w:rPr>
        <w:t>或本保函相关事项</w:t>
      </w:r>
      <w:r>
        <w:rPr>
          <w:rFonts w:ascii="Times New Roman" w:hAnsi="Times New Roman" w:eastAsia="仿宋_GB2312"/>
          <w:color w:val="auto"/>
          <w:sz w:val="24"/>
          <w:szCs w:val="24"/>
          <w:highlight w:val="none"/>
        </w:rPr>
        <w:t>发生的纠纷，可由双方协商解决，协商不成的，按下列第</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种方式</w:t>
      </w:r>
      <w:r>
        <w:rPr>
          <w:rFonts w:hint="eastAsia" w:ascii="Times New Roman" w:hAnsi="Times New Roman" w:eastAsia="仿宋_GB2312"/>
          <w:color w:val="auto"/>
          <w:sz w:val="24"/>
          <w:szCs w:val="24"/>
          <w:highlight w:val="none"/>
        </w:rPr>
        <w:t>解</w:t>
      </w:r>
      <w:r>
        <w:rPr>
          <w:rFonts w:ascii="Times New Roman" w:hAnsi="Times New Roman" w:eastAsia="仿宋_GB2312"/>
          <w:color w:val="auto"/>
          <w:sz w:val="24"/>
          <w:szCs w:val="24"/>
          <w:highlight w:val="none"/>
        </w:rPr>
        <w:t>决：</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（1）向</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仲裁委员会申请仲裁；</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（2）向</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人民法院起诉。</w:t>
      </w:r>
    </w:p>
    <w:p>
      <w:pPr>
        <w:spacing w:before="156" w:beforeLines="50" w:after="156" w:afterLines="50" w:line="440" w:lineRule="exact"/>
        <w:jc w:val="left"/>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八、保函的生效</w:t>
      </w:r>
    </w:p>
    <w:p>
      <w:pPr>
        <w:spacing w:line="360" w:lineRule="auto"/>
        <w:ind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本保函自我方法定代表人（或其授权代理人）签字并加盖公章之日起生效。</w:t>
      </w:r>
    </w:p>
    <w:p>
      <w:pPr>
        <w:spacing w:line="360" w:lineRule="auto"/>
        <w:ind w:firstLine="480" w:firstLineChars="200"/>
        <w:jc w:val="left"/>
        <w:rPr>
          <w:rFonts w:hint="eastAsia" w:ascii="Times New Roman" w:hAnsi="Times New Roman" w:eastAsia="仿宋_GB2312"/>
          <w:color w:val="auto"/>
          <w:sz w:val="24"/>
          <w:szCs w:val="24"/>
          <w:highlight w:val="none"/>
        </w:rPr>
      </w:pPr>
    </w:p>
    <w:p>
      <w:pPr>
        <w:spacing w:line="360" w:lineRule="auto"/>
        <w:ind w:right="600"/>
        <w:jc w:val="left"/>
        <w:rPr>
          <w:rFonts w:hint="eastAsia" w:ascii="Times New Roman" w:hAnsi="Times New Roman" w:eastAsia="仿宋_GB2312"/>
          <w:color w:val="auto"/>
          <w:sz w:val="24"/>
          <w:szCs w:val="24"/>
          <w:highlight w:val="none"/>
        </w:rPr>
      </w:pPr>
    </w:p>
    <w:p>
      <w:pPr>
        <w:spacing w:line="360" w:lineRule="auto"/>
        <w:ind w:right="6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担保人：</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（盖章）</w:t>
      </w:r>
    </w:p>
    <w:p>
      <w:pPr>
        <w:spacing w:line="360" w:lineRule="auto"/>
        <w:ind w:right="1200"/>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法定代表人或委托代理人：</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（签字）</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地    址：</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邮政编码：</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传    真：</w:t>
      </w:r>
      <w:r>
        <w:rPr>
          <w:rFonts w:ascii="Times New Roman" w:hAnsi="Times New Roman" w:eastAsia="仿宋_GB2312"/>
          <w:color w:val="auto"/>
          <w:sz w:val="24"/>
          <w:szCs w:val="24"/>
          <w:highlight w:val="none"/>
          <w:u w:val="single"/>
        </w:rPr>
        <w:t xml:space="preserve">      </w:t>
      </w:r>
      <w:r>
        <w:rPr>
          <w:rFonts w:hint="eastAsia"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u w:val="single"/>
        </w:rPr>
        <w:t xml:space="preserve">                          </w:t>
      </w:r>
    </w:p>
    <w:p>
      <w:pPr>
        <w:spacing w:line="360" w:lineRule="auto"/>
        <w:ind w:right="150" w:firstLine="480" w:firstLineChars="200"/>
        <w:jc w:val="left"/>
        <w:rPr>
          <w:rFonts w:ascii="Times New Roman" w:hAnsi="Times New Roman" w:eastAsia="仿宋_GB2312"/>
          <w:color w:val="auto"/>
          <w:sz w:val="24"/>
          <w:szCs w:val="24"/>
          <w:highlight w:val="none"/>
          <w:u w:val="single"/>
        </w:rPr>
      </w:pPr>
    </w:p>
    <w:p>
      <w:pPr>
        <w:spacing w:line="360" w:lineRule="auto"/>
        <w:ind w:right="150" w:firstLine="480" w:firstLineChars="200"/>
        <w:jc w:val="left"/>
        <w:rPr>
          <w:rFonts w:ascii="Times New Roman" w:hAnsi="Times New Roman" w:eastAsia="仿宋_GB2312"/>
          <w:color w:val="auto"/>
          <w:sz w:val="24"/>
          <w:szCs w:val="24"/>
          <w:highlight w:val="none"/>
        </w:rPr>
      </w:pPr>
      <w:r>
        <w:rPr>
          <w:rFonts w:ascii="Times New Roman" w:hAnsi="Times New Roman" w:eastAsia="仿宋_GB2312"/>
          <w:color w:val="auto"/>
          <w:sz w:val="24"/>
          <w:szCs w:val="24"/>
          <w:highlight w:val="none"/>
        </w:rPr>
        <w:t xml:space="preserve">             </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年</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月</w:t>
      </w:r>
      <w:r>
        <w:rPr>
          <w:rFonts w:ascii="Times New Roman" w:hAnsi="Times New Roman" w:eastAsia="仿宋_GB2312"/>
          <w:color w:val="auto"/>
          <w:sz w:val="24"/>
          <w:szCs w:val="24"/>
          <w:highlight w:val="none"/>
          <w:u w:val="single"/>
        </w:rPr>
        <w:t xml:space="preserve">      </w:t>
      </w:r>
      <w:r>
        <w:rPr>
          <w:rFonts w:ascii="Times New Roman" w:hAnsi="Times New Roman" w:eastAsia="仿宋_GB2312"/>
          <w:color w:val="auto"/>
          <w:sz w:val="24"/>
          <w:szCs w:val="24"/>
          <w:highlight w:val="none"/>
        </w:rPr>
        <w:t>日</w:t>
      </w:r>
    </w:p>
    <w:p>
      <w:pPr>
        <w:pStyle w:val="9"/>
        <w:rPr>
          <w:rFonts w:ascii="Times New Roman" w:hAnsi="Times New Roman" w:eastAsia="黑体"/>
          <w:color w:val="auto"/>
          <w:sz w:val="30"/>
          <w:szCs w:val="30"/>
          <w:highlight w:val="none"/>
        </w:rPr>
      </w:pPr>
      <w:r>
        <w:rPr>
          <w:rFonts w:ascii="Times New Roman" w:hAnsi="Times New Roman" w:eastAsia="仿宋_GB2312"/>
          <w:color w:val="auto"/>
          <w:sz w:val="24"/>
          <w:szCs w:val="24"/>
          <w:highlight w:val="none"/>
        </w:rPr>
        <w:br w:type="page"/>
      </w:r>
      <w:r>
        <w:rPr>
          <w:color w:val="auto"/>
          <w:highlight w:val="none"/>
        </w:rPr>
        <w:t>附件11：</w:t>
      </w:r>
    </w:p>
    <w:p>
      <w:pPr>
        <w:spacing w:before="156" w:beforeLines="50" w:after="156" w:afterLines="50" w:line="440" w:lineRule="exact"/>
        <w:jc w:val="center"/>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11-1：材料暂估价表</w:t>
      </w:r>
    </w:p>
    <w:tbl>
      <w:tblPr>
        <w:tblStyle w:val="40"/>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序号</w:t>
            </w:r>
          </w:p>
        </w:tc>
        <w:tc>
          <w:tcPr>
            <w:tcW w:w="1984" w:type="dxa"/>
            <w:tcBorders>
              <w:top w:val="single" w:color="auto" w:sz="12" w:space="0"/>
              <w:bottom w:val="doub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名称</w:t>
            </w:r>
          </w:p>
        </w:tc>
        <w:tc>
          <w:tcPr>
            <w:tcW w:w="851" w:type="dxa"/>
            <w:tcBorders>
              <w:top w:val="single" w:color="auto" w:sz="12" w:space="0"/>
              <w:bottom w:val="doub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单位</w:t>
            </w:r>
          </w:p>
        </w:tc>
        <w:tc>
          <w:tcPr>
            <w:tcW w:w="774" w:type="dxa"/>
            <w:tcBorders>
              <w:top w:val="single" w:color="auto" w:sz="12" w:space="0"/>
              <w:bottom w:val="doub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数量</w:t>
            </w:r>
          </w:p>
        </w:tc>
        <w:tc>
          <w:tcPr>
            <w:tcW w:w="1352" w:type="dxa"/>
            <w:tcBorders>
              <w:top w:val="single" w:color="auto" w:sz="12" w:space="0"/>
              <w:bottom w:val="doub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单价</w:t>
            </w:r>
            <w:r>
              <w:rPr>
                <w:rFonts w:hint="eastAsia" w:eastAsia="仿宋_GB2312"/>
                <w:color w:val="auto"/>
                <w:kern w:val="2"/>
                <w:sz w:val="24"/>
                <w:szCs w:val="24"/>
                <w:highlight w:val="none"/>
              </w:rPr>
              <w:t>（元）</w:t>
            </w:r>
          </w:p>
        </w:tc>
        <w:tc>
          <w:tcPr>
            <w:tcW w:w="1418" w:type="dxa"/>
            <w:tcBorders>
              <w:top w:val="single" w:color="auto" w:sz="12" w:space="0"/>
              <w:bottom w:val="doub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合价</w:t>
            </w:r>
            <w:r>
              <w:rPr>
                <w:rFonts w:hint="eastAsia" w:eastAsia="仿宋_GB2312"/>
                <w:color w:val="auto"/>
                <w:kern w:val="2"/>
                <w:sz w:val="24"/>
                <w:szCs w:val="24"/>
                <w:highlight w:val="none"/>
              </w:rPr>
              <w:t>（元）</w:t>
            </w:r>
          </w:p>
        </w:tc>
        <w:tc>
          <w:tcPr>
            <w:tcW w:w="1701" w:type="dxa"/>
            <w:tcBorders>
              <w:top w:val="single" w:color="auto" w:sz="12" w:space="0"/>
              <w:bottom w:val="doub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tcBorders>
              <w:top w:val="double" w:color="auto" w:sz="6" w:space="0"/>
              <w:bottom w:val="sing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tcBorders>
              <w:top w:val="double" w:color="auto" w:sz="6" w:space="0"/>
              <w:bottom w:val="sing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tcBorders>
              <w:top w:val="double" w:color="auto" w:sz="6" w:space="0"/>
              <w:bottom w:val="sing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tcBorders>
              <w:top w:val="double" w:color="auto" w:sz="6" w:space="0"/>
              <w:bottom w:val="sing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tcBorders>
              <w:top w:val="double" w:color="auto" w:sz="6" w:space="0"/>
              <w:bottom w:val="sing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tcBorders>
              <w:top w:val="double" w:color="auto" w:sz="6" w:space="0"/>
              <w:bottom w:val="sing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8"/>
                <w:szCs w:val="30"/>
                <w:highlight w:val="none"/>
              </w:rPr>
            </w:pPr>
          </w:p>
        </w:tc>
      </w:tr>
    </w:tbl>
    <w:p>
      <w:pPr>
        <w:spacing w:before="156" w:beforeLines="50" w:after="156" w:afterLines="50" w:line="440" w:lineRule="exact"/>
        <w:rPr>
          <w:rFonts w:hint="eastAsia" w:ascii="Times New Roman" w:hAnsi="Times New Roman" w:eastAsia="黑体"/>
          <w:color w:val="auto"/>
          <w:sz w:val="30"/>
          <w:szCs w:val="30"/>
          <w:highlight w:val="none"/>
        </w:rPr>
      </w:pPr>
    </w:p>
    <w:p>
      <w:pPr>
        <w:spacing w:before="156" w:beforeLines="50" w:after="156" w:afterLines="50" w:line="440" w:lineRule="exact"/>
        <w:jc w:val="center"/>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11-2：工程设备暂估价表</w:t>
      </w:r>
    </w:p>
    <w:tbl>
      <w:tblPr>
        <w:tblStyle w:val="40"/>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序号</w:t>
            </w:r>
          </w:p>
        </w:tc>
        <w:tc>
          <w:tcPr>
            <w:tcW w:w="1984" w:type="dxa"/>
            <w:tcBorders>
              <w:top w:val="single" w:color="auto" w:sz="12" w:space="0"/>
              <w:bottom w:val="doub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名称</w:t>
            </w:r>
          </w:p>
        </w:tc>
        <w:tc>
          <w:tcPr>
            <w:tcW w:w="851" w:type="dxa"/>
            <w:tcBorders>
              <w:top w:val="single" w:color="auto" w:sz="12" w:space="0"/>
              <w:bottom w:val="doub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单位</w:t>
            </w:r>
          </w:p>
        </w:tc>
        <w:tc>
          <w:tcPr>
            <w:tcW w:w="774" w:type="dxa"/>
            <w:tcBorders>
              <w:top w:val="single" w:color="auto" w:sz="12" w:space="0"/>
              <w:bottom w:val="doub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数量</w:t>
            </w:r>
          </w:p>
        </w:tc>
        <w:tc>
          <w:tcPr>
            <w:tcW w:w="1352" w:type="dxa"/>
            <w:tcBorders>
              <w:top w:val="single" w:color="auto" w:sz="12" w:space="0"/>
              <w:bottom w:val="doub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单价</w:t>
            </w:r>
            <w:r>
              <w:rPr>
                <w:rFonts w:hint="eastAsia" w:eastAsia="仿宋_GB2312"/>
                <w:color w:val="auto"/>
                <w:kern w:val="2"/>
                <w:sz w:val="24"/>
                <w:szCs w:val="24"/>
                <w:highlight w:val="none"/>
              </w:rPr>
              <w:t>（元）</w:t>
            </w:r>
          </w:p>
        </w:tc>
        <w:tc>
          <w:tcPr>
            <w:tcW w:w="1418" w:type="dxa"/>
            <w:tcBorders>
              <w:top w:val="single" w:color="auto" w:sz="12" w:space="0"/>
              <w:bottom w:val="doub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合价</w:t>
            </w:r>
            <w:r>
              <w:rPr>
                <w:rFonts w:hint="eastAsia" w:eastAsia="仿宋_GB2312"/>
                <w:color w:val="auto"/>
                <w:kern w:val="2"/>
                <w:sz w:val="24"/>
                <w:szCs w:val="24"/>
                <w:highlight w:val="none"/>
              </w:rPr>
              <w:t>（元）</w:t>
            </w:r>
          </w:p>
        </w:tc>
        <w:tc>
          <w:tcPr>
            <w:tcW w:w="1701" w:type="dxa"/>
            <w:tcBorders>
              <w:top w:val="single" w:color="auto" w:sz="12" w:space="0"/>
              <w:bottom w:val="doub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tcBorders>
              <w:top w:val="double" w:color="auto" w:sz="6" w:space="0"/>
              <w:bottom w:val="sing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tcBorders>
              <w:top w:val="double" w:color="auto" w:sz="6" w:space="0"/>
              <w:bottom w:val="sing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tcBorders>
              <w:top w:val="double" w:color="auto" w:sz="6" w:space="0"/>
              <w:bottom w:val="sing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tcBorders>
              <w:top w:val="double" w:color="auto" w:sz="6" w:space="0"/>
              <w:bottom w:val="sing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tcBorders>
              <w:top w:val="double" w:color="auto" w:sz="6" w:space="0"/>
              <w:bottom w:val="sing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tcBorders>
              <w:top w:val="double" w:color="auto" w:sz="6" w:space="0"/>
              <w:bottom w:val="sing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85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774"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352"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418"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c>
          <w:tcPr>
            <w:tcW w:w="1701" w:type="dxa"/>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p>
        </w:tc>
      </w:tr>
    </w:tbl>
    <w:p>
      <w:pPr>
        <w:spacing w:line="440" w:lineRule="exact"/>
        <w:rPr>
          <w:rFonts w:ascii="Times New Roman" w:hAnsi="Times New Roman" w:eastAsia="仿宋_GB2312"/>
          <w:color w:val="auto"/>
          <w:sz w:val="24"/>
          <w:szCs w:val="24"/>
          <w:highlight w:val="none"/>
        </w:rPr>
      </w:pPr>
    </w:p>
    <w:p>
      <w:pPr>
        <w:spacing w:before="156" w:beforeLines="50" w:after="156" w:afterLines="50" w:line="440" w:lineRule="exact"/>
        <w:jc w:val="center"/>
        <w:rPr>
          <w:rFonts w:ascii="Times New Roman" w:hAnsi="Times New Roman" w:eastAsia="黑体"/>
          <w:color w:val="auto"/>
          <w:sz w:val="24"/>
          <w:szCs w:val="24"/>
          <w:highlight w:val="none"/>
        </w:rPr>
      </w:pPr>
      <w:r>
        <w:rPr>
          <w:rFonts w:ascii="Times New Roman" w:hAnsi="Times New Roman" w:eastAsia="仿宋_GB2312"/>
          <w:color w:val="auto"/>
          <w:sz w:val="24"/>
          <w:szCs w:val="24"/>
          <w:highlight w:val="none"/>
        </w:rPr>
        <w:br w:type="page"/>
      </w:r>
      <w:r>
        <w:rPr>
          <w:rFonts w:ascii="Times New Roman" w:hAnsi="Times New Roman" w:eastAsia="黑体"/>
          <w:color w:val="auto"/>
          <w:sz w:val="24"/>
          <w:szCs w:val="24"/>
          <w:highlight w:val="none"/>
        </w:rPr>
        <w:t>11-3：专业工程暂估价表</w:t>
      </w:r>
    </w:p>
    <w:tbl>
      <w:tblPr>
        <w:tblStyle w:val="40"/>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c>
          <w:tcPr>
            <w:tcW w:w="879" w:type="dxa"/>
            <w:tcBorders>
              <w:top w:val="single" w:color="auto" w:sz="12" w:space="0"/>
              <w:bottom w:val="doub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序号</w:t>
            </w:r>
          </w:p>
        </w:tc>
        <w:tc>
          <w:tcPr>
            <w:tcW w:w="1984" w:type="dxa"/>
            <w:tcBorders>
              <w:top w:val="single" w:color="auto" w:sz="12" w:space="0"/>
              <w:bottom w:val="doub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专业工程名称</w:t>
            </w:r>
          </w:p>
        </w:tc>
        <w:tc>
          <w:tcPr>
            <w:tcW w:w="4678" w:type="dxa"/>
            <w:tcBorders>
              <w:top w:val="single" w:color="auto" w:sz="12" w:space="0"/>
              <w:bottom w:val="doub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工程内容</w:t>
            </w:r>
          </w:p>
        </w:tc>
        <w:tc>
          <w:tcPr>
            <w:tcW w:w="1276" w:type="dxa"/>
            <w:tcBorders>
              <w:top w:val="single" w:color="auto" w:sz="12" w:space="0"/>
              <w:bottom w:val="doub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eastAsia="仿宋_GB2312"/>
                <w:color w:val="auto"/>
                <w:kern w:val="2"/>
                <w:sz w:val="24"/>
                <w:szCs w:val="24"/>
                <w:highlight w:val="none"/>
              </w:rPr>
            </w:pPr>
            <w:r>
              <w:rPr>
                <w:rFonts w:hint="default" w:eastAsia="仿宋_GB2312"/>
                <w:color w:val="auto"/>
                <w:kern w:val="2"/>
                <w:sz w:val="24"/>
                <w:szCs w:val="24"/>
                <w:highlight w:val="none"/>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tcBorders>
              <w:top w:val="double" w:color="auto" w:sz="6" w:space="0"/>
              <w:bottom w:val="sing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tcBorders>
              <w:top w:val="double" w:color="auto" w:sz="6" w:space="0"/>
              <w:bottom w:val="sing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tcBorders>
              <w:top w:val="double" w:color="auto" w:sz="6" w:space="0"/>
              <w:bottom w:val="single" w:color="auto" w:sz="6" w:space="0"/>
            </w:tcBorders>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tcBorders>
              <w:top w:val="nil"/>
            </w:tcBorders>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984"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4678"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c>
          <w:tcPr>
            <w:tcW w:w="1276" w:type="dxa"/>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pPr>
              <w:pStyle w:val="3"/>
              <w:keepNext/>
              <w:keepLines w:val="0"/>
              <w:suppressLineNumbers w:val="0"/>
              <w:spacing w:before="0" w:beforeAutospacing="0" w:after="0" w:afterAutospacing="0" w:line="440" w:lineRule="exact"/>
              <w:ind w:left="63" w:right="63"/>
              <w:rPr>
                <w:rFonts w:hint="default"/>
                <w:color w:val="auto"/>
                <w:kern w:val="2"/>
                <w:sz w:val="24"/>
                <w:szCs w:val="24"/>
                <w:highlight w:val="none"/>
              </w:rPr>
            </w:pPr>
            <w:r>
              <w:rPr>
                <w:rFonts w:hint="default" w:eastAsia="仿宋_GB2312"/>
                <w:color w:val="auto"/>
                <w:kern w:val="2"/>
                <w:sz w:val="24"/>
                <w:szCs w:val="24"/>
                <w:highlight w:val="none"/>
              </w:rPr>
              <w:t>小计：</w:t>
            </w:r>
          </w:p>
        </w:tc>
      </w:tr>
    </w:tbl>
    <w:p>
      <w:pPr>
        <w:pStyle w:val="7"/>
        <w:rPr>
          <w:rFonts w:hint="eastAsia"/>
          <w:color w:val="auto"/>
          <w:highlight w:val="none"/>
          <w:lang w:val="en-US" w:eastAsia="zh-CN"/>
        </w:rPr>
      </w:pPr>
    </w:p>
    <w:sectPr>
      <w:headerReference r:id="rId15" w:type="default"/>
      <w:footerReference r:id="rId16" w:type="default"/>
      <w:pgSz w:w="11906" w:h="16838"/>
      <w:pgMar w:top="1440" w:right="1803" w:bottom="1440" w:left="1803"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Wingdings 2">
    <w:panose1 w:val="05020102010507070707"/>
    <w:charset w:val="02"/>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150"/>
        <w:tab w:val="clear" w:pos="4153"/>
      </w:tabs>
    </w:pPr>
    <w:r>
      <w:rPr>
        <w:rFonts w:hint="eastAsia"/>
        <w:lang w:eastAsia="zh-CN"/>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70</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73</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cs="宋体"/>
        <w:lang w:val="en-US"/>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100</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enter" w:pos="4150"/>
        <w:tab w:val="clear" w:pos="4153"/>
      </w:tabs>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44</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PAGE   \* MERGEFORMAT </w:instrText>
    </w:r>
    <w:r>
      <w:fldChar w:fldCharType="separate"/>
    </w:r>
    <w:r>
      <w:rPr>
        <w:rFonts w:eastAsia="Times New Roman"/>
        <w:sz w:val="18"/>
      </w:rPr>
      <w:t>1</w:t>
    </w:r>
    <w:r>
      <w:rPr>
        <w:rFonts w:eastAsia="Times New Roman"/>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ascii="Times New Roman" w:hAnsi="Times New Roman"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69</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68</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rPr>
        <w:rFonts w:ascii="Times New Roman" w:hAnsi="Times New Roman" w:eastAsia="仿宋_GB2312"/>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spacing w:line="400" w:lineRule="exact"/>
      <w:ind w:left="0" w:leftChars="0" w:firstLine="0" w:firstLineChars="0"/>
      <w:textAlignment w:val="auto"/>
      <w:rPr>
        <w:rFonts w:hint="default" w:eastAsia="宋体"/>
        <w:u w:val="single"/>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A434"/>
    <w:multiLevelType w:val="singleLevel"/>
    <w:tmpl w:val="845BA434"/>
    <w:lvl w:ilvl="0" w:tentative="0">
      <w:start w:val="7"/>
      <w:numFmt w:val="decimal"/>
      <w:lvlText w:val="%1."/>
      <w:lvlJc w:val="left"/>
      <w:pPr>
        <w:tabs>
          <w:tab w:val="left" w:pos="312"/>
        </w:tabs>
      </w:pPr>
    </w:lvl>
  </w:abstractNum>
  <w:abstractNum w:abstractNumId="1">
    <w:nsid w:val="993FCA19"/>
    <w:multiLevelType w:val="singleLevel"/>
    <w:tmpl w:val="993FCA19"/>
    <w:lvl w:ilvl="0" w:tentative="0">
      <w:start w:val="1"/>
      <w:numFmt w:val="chineseCounting"/>
      <w:suff w:val="space"/>
      <w:lvlText w:val="第%1部分"/>
      <w:lvlJc w:val="left"/>
      <w:rPr>
        <w:rFonts w:hint="eastAsia"/>
      </w:rPr>
    </w:lvl>
  </w:abstractNum>
  <w:abstractNum w:abstractNumId="2">
    <w:nsid w:val="A5BCA284"/>
    <w:multiLevelType w:val="singleLevel"/>
    <w:tmpl w:val="A5BCA284"/>
    <w:lvl w:ilvl="0" w:tentative="0">
      <w:start w:val="2"/>
      <w:numFmt w:val="chineseCounting"/>
      <w:suff w:val="nothing"/>
      <w:lvlText w:val="%1、"/>
      <w:lvlJc w:val="left"/>
      <w:rPr>
        <w:rFonts w:hint="eastAsia"/>
      </w:rPr>
    </w:lvl>
  </w:abstractNum>
  <w:abstractNum w:abstractNumId="3">
    <w:nsid w:val="E2420D4D"/>
    <w:multiLevelType w:val="singleLevel"/>
    <w:tmpl w:val="E2420D4D"/>
    <w:lvl w:ilvl="0" w:tentative="0">
      <w:start w:val="4"/>
      <w:numFmt w:val="decimal"/>
      <w:suff w:val="nothing"/>
      <w:lvlText w:val="%1、"/>
      <w:lvlJc w:val="left"/>
      <w:pPr>
        <w:ind w:left="210" w:firstLine="0"/>
      </w:pPr>
    </w:lvl>
  </w:abstractNum>
  <w:abstractNum w:abstractNumId="4">
    <w:nsid w:val="F77C3188"/>
    <w:multiLevelType w:val="singleLevel"/>
    <w:tmpl w:val="F77C3188"/>
    <w:lvl w:ilvl="0" w:tentative="0">
      <w:start w:val="2"/>
      <w:numFmt w:val="decimal"/>
      <w:suff w:val="nothing"/>
      <w:lvlText w:val="%1、"/>
      <w:lvlJc w:val="left"/>
    </w:lvl>
  </w:abstractNum>
  <w:abstractNum w:abstractNumId="5">
    <w:nsid w:val="01E967D5"/>
    <w:multiLevelType w:val="multilevel"/>
    <w:tmpl w:val="01E967D5"/>
    <w:lvl w:ilvl="0" w:tentative="0">
      <w:start w:val="1"/>
      <w:numFmt w:val="chineseCountingThousand"/>
      <w:pStyle w:val="148"/>
      <w:lvlText w:val="%1、"/>
      <w:lvlJc w:val="left"/>
      <w:pPr>
        <w:ind w:left="0" w:firstLine="40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29734FF"/>
    <w:multiLevelType w:val="multilevel"/>
    <w:tmpl w:val="229734FF"/>
    <w:lvl w:ilvl="0" w:tentative="0">
      <w:start w:val="1"/>
      <w:numFmt w:val="decimal"/>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7">
    <w:nsid w:val="229F04AB"/>
    <w:multiLevelType w:val="singleLevel"/>
    <w:tmpl w:val="229F04AB"/>
    <w:lvl w:ilvl="0" w:tentative="0">
      <w:start w:val="2"/>
      <w:numFmt w:val="chineseCounting"/>
      <w:suff w:val="space"/>
      <w:lvlText w:val="第%1部分"/>
      <w:lvlJc w:val="left"/>
      <w:rPr>
        <w:rFonts w:hint="eastAsia"/>
      </w:rPr>
    </w:lvl>
  </w:abstractNum>
  <w:abstractNum w:abstractNumId="8">
    <w:nsid w:val="3AA800C6"/>
    <w:multiLevelType w:val="multilevel"/>
    <w:tmpl w:val="3AA800C6"/>
    <w:lvl w:ilvl="0" w:tentative="0">
      <w:start w:val="1"/>
      <w:numFmt w:val="decimal"/>
      <w:pStyle w:val="141"/>
      <w:lvlText w:val="第%1条"/>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rPr>
        <w:rFonts w:hint="eastAsia" w:ascii="仿宋_GB2312" w:eastAsia="仿宋_GB2312"/>
      </w:r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9">
    <w:nsid w:val="420C153B"/>
    <w:multiLevelType w:val="multilevel"/>
    <w:tmpl w:val="420C153B"/>
    <w:lvl w:ilvl="0" w:tentative="0">
      <w:start w:val="1"/>
      <w:numFmt w:val="decimal"/>
      <w:pStyle w:val="13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59913DE3"/>
    <w:multiLevelType w:val="singleLevel"/>
    <w:tmpl w:val="59913DE3"/>
    <w:lvl w:ilvl="0" w:tentative="0">
      <w:start w:val="1"/>
      <w:numFmt w:val="decimal"/>
      <w:suff w:val="nothing"/>
      <w:lvlText w:val="%1、"/>
      <w:lvlJc w:val="left"/>
    </w:lvl>
  </w:abstractNum>
  <w:abstractNum w:abstractNumId="11">
    <w:nsid w:val="62687BB6"/>
    <w:multiLevelType w:val="multilevel"/>
    <w:tmpl w:val="62687BB6"/>
    <w:lvl w:ilvl="0" w:tentative="0">
      <w:start w:val="1"/>
      <w:numFmt w:val="decimal"/>
      <w:pStyle w:val="147"/>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2">
    <w:nsid w:val="6E87019F"/>
    <w:multiLevelType w:val="multilevel"/>
    <w:tmpl w:val="6E87019F"/>
    <w:lvl w:ilvl="0" w:tentative="0">
      <w:start w:val="1"/>
      <w:numFmt w:val="chineseCountingThousand"/>
      <w:pStyle w:val="139"/>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9"/>
  </w:num>
  <w:num w:numId="2">
    <w:abstractNumId w:val="12"/>
  </w:num>
  <w:num w:numId="3">
    <w:abstractNumId w:val="8"/>
  </w:num>
  <w:num w:numId="4">
    <w:abstractNumId w:val="6"/>
    <w:lvlOverride w:ilvl="0">
      <w:lvl w:ilvl="0" w:tentative="1">
        <w:start w:val="1"/>
        <w:numFmt w:val="decimal"/>
        <w:lvlText w:val="第%1条"/>
        <w:lvlJc w:val="left"/>
        <w:pPr>
          <w:ind w:left="0" w:firstLine="0"/>
        </w:pPr>
      </w:lvl>
    </w:lvlOverride>
    <w:lvlOverride w:ilvl="1">
      <w:lvl w:ilvl="1" w:tentative="1">
        <w:start w:val="1"/>
        <w:numFmt w:val="decimal"/>
        <w:pStyle w:val="142"/>
        <w:lvlText w:val="%1.%2"/>
        <w:lvlJc w:val="left"/>
        <w:pPr>
          <w:ind w:left="1843" w:firstLine="0"/>
        </w:pPr>
      </w:lvl>
    </w:lvlOverride>
    <w:lvlOverride w:ilvl="2">
      <w:lvl w:ilvl="2" w:tentative="1">
        <w:start w:val="1"/>
        <w:numFmt w:val="decimal"/>
        <w:pStyle w:val="143"/>
        <w:lvlText w:val="%1.%2.%3"/>
        <w:lvlJc w:val="left"/>
        <w:pPr>
          <w:ind w:left="2126" w:firstLine="0"/>
        </w:pPr>
      </w:lvl>
    </w:lvlOverride>
    <w:lvlOverride w:ilvl="3">
      <w:lvl w:ilvl="3" w:tentative="1">
        <w:start w:val="1"/>
        <w:numFmt w:val="decimal"/>
        <w:pStyle w:val="144"/>
        <w:lvlText w:val="%1.%2.%3.%4"/>
        <w:lvlJc w:val="left"/>
        <w:pPr>
          <w:ind w:left="710" w:firstLine="0"/>
        </w:pPr>
      </w:lvl>
    </w:lvlOverride>
    <w:lvlOverride w:ilvl="4">
      <w:lvl w:ilvl="4" w:tentative="1">
        <w:start w:val="1"/>
        <w:numFmt w:val="decimal"/>
        <w:lvlText w:val="%1.%2.%3.%4.%5"/>
        <w:lvlJc w:val="left"/>
        <w:pPr>
          <w:ind w:left="0" w:firstLine="0"/>
        </w:pPr>
      </w:lvl>
    </w:lvlOverride>
    <w:lvlOverride w:ilvl="5">
      <w:lvl w:ilvl="5" w:tentative="1">
        <w:start w:val="1"/>
        <w:numFmt w:val="decimal"/>
        <w:lvlText w:val="%1.%2.%3.%4.%5.%6"/>
        <w:lvlJc w:val="left"/>
        <w:pPr>
          <w:ind w:left="0" w:firstLine="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5">
    <w:abstractNumId w:val="6"/>
    <w:lvlOverride w:ilvl="0">
      <w:lvl w:ilvl="0" w:tentative="1">
        <w:start w:val="1"/>
        <w:numFmt w:val="decimal"/>
        <w:lvlText w:val="第%1条"/>
        <w:lvlJc w:val="left"/>
        <w:pPr>
          <w:ind w:left="0" w:firstLine="0"/>
        </w:pPr>
      </w:lvl>
    </w:lvlOverride>
    <w:lvlOverride w:ilvl="1">
      <w:lvl w:ilvl="1" w:tentative="1">
        <w:start w:val="1"/>
        <w:numFmt w:val="decimal"/>
        <w:lvlText w:val="%1.%2"/>
        <w:lvlJc w:val="left"/>
        <w:pPr>
          <w:ind w:left="0" w:firstLine="0"/>
        </w:pPr>
      </w:lvl>
    </w:lvlOverride>
    <w:lvlOverride w:ilvl="2">
      <w:lvl w:ilvl="2" w:tentative="1">
        <w:start w:val="1"/>
        <w:numFmt w:val="decimal"/>
        <w:lvlText w:val="%1.%2.%3"/>
        <w:lvlJc w:val="left"/>
        <w:pPr>
          <w:ind w:left="0" w:firstLine="0"/>
        </w:pPr>
      </w:lvl>
    </w:lvlOverride>
    <w:lvlOverride w:ilvl="3">
      <w:lvl w:ilvl="3" w:tentative="1">
        <w:start w:val="1"/>
        <w:numFmt w:val="decimal"/>
        <w:lvlText w:val="%1.%2.%3.%4"/>
        <w:lvlJc w:val="left"/>
        <w:pPr>
          <w:ind w:left="0" w:firstLine="0"/>
        </w:pPr>
      </w:lvl>
    </w:lvlOverride>
    <w:lvlOverride w:ilvl="4">
      <w:lvl w:ilvl="4" w:tentative="1">
        <w:start w:val="1"/>
        <w:numFmt w:val="decimal"/>
        <w:pStyle w:val="145"/>
        <w:lvlText w:val="(%5)"/>
        <w:lvlJc w:val="left"/>
        <w:pPr>
          <w:ind w:left="310" w:firstLine="400"/>
        </w:pPr>
      </w:lvl>
    </w:lvlOverride>
    <w:lvlOverride w:ilvl="5">
      <w:lvl w:ilvl="5" w:tentative="1">
        <w:start w:val="1"/>
        <w:numFmt w:val="decimal"/>
        <w:lvlText w:val="%6)"/>
        <w:lvlJc w:val="left"/>
        <w:pPr>
          <w:ind w:left="0" w:firstLine="480"/>
        </w:pPr>
      </w:lvl>
    </w:lvlOverride>
    <w:lvlOverride w:ilvl="6">
      <w:lvl w:ilvl="6" w:tentative="1">
        <w:start w:val="1"/>
        <w:numFmt w:val="decimal"/>
        <w:lvlText w:val="%1.%2.%3.%4.%5.%6.%7"/>
        <w:lvlJc w:val="left"/>
        <w:pPr>
          <w:ind w:left="0" w:firstLine="0"/>
        </w:pPr>
      </w:lvl>
    </w:lvlOverride>
    <w:lvlOverride w:ilvl="7">
      <w:lvl w:ilvl="7" w:tentative="1">
        <w:start w:val="1"/>
        <w:numFmt w:val="decimal"/>
        <w:lvlText w:val="%1.%2.%3.%4.%5.%6.%7.%8"/>
        <w:lvlJc w:val="left"/>
        <w:pPr>
          <w:ind w:left="0" w:firstLine="0"/>
        </w:pPr>
      </w:lvl>
    </w:lvlOverride>
    <w:lvlOverride w:ilvl="8">
      <w:lvl w:ilvl="8" w:tentative="1">
        <w:start w:val="1"/>
        <w:numFmt w:val="decimal"/>
        <w:lvlText w:val="%1.%2.%3.%4.%5.%6.%7.%8.%9"/>
        <w:lvlJc w:val="left"/>
        <w:pPr>
          <w:ind w:left="0" w:firstLine="0"/>
        </w:pPr>
      </w:lvl>
    </w:lvlOverride>
  </w:num>
  <w:num w:numId="6">
    <w:abstractNumId w:val="11"/>
  </w:num>
  <w:num w:numId="7">
    <w:abstractNumId w:val="5"/>
  </w:num>
  <w:num w:numId="8">
    <w:abstractNumId w:val="2"/>
  </w:num>
  <w:num w:numId="9">
    <w:abstractNumId w:val="3"/>
  </w:num>
  <w:num w:numId="10">
    <w:abstractNumId w:val="0"/>
  </w:num>
  <w:num w:numId="11">
    <w:abstractNumId w:val="10"/>
  </w:num>
  <w:num w:numId="12">
    <w:abstractNumId w:val="4"/>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ZmMyYTY5MjhjNTI1YTFmZTYzNjEwNTUxNmNjNWQifQ=="/>
  </w:docVars>
  <w:rsids>
    <w:rsidRoot w:val="00172A27"/>
    <w:rsid w:val="000029EC"/>
    <w:rsid w:val="000073CE"/>
    <w:rsid w:val="00010ACC"/>
    <w:rsid w:val="00010F6B"/>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51B6F"/>
    <w:rsid w:val="00052A8F"/>
    <w:rsid w:val="00063352"/>
    <w:rsid w:val="0006626C"/>
    <w:rsid w:val="00083219"/>
    <w:rsid w:val="00087626"/>
    <w:rsid w:val="000922FC"/>
    <w:rsid w:val="00092A2F"/>
    <w:rsid w:val="00096194"/>
    <w:rsid w:val="000A3122"/>
    <w:rsid w:val="000A49E2"/>
    <w:rsid w:val="000B0541"/>
    <w:rsid w:val="000B05A5"/>
    <w:rsid w:val="000B1E2F"/>
    <w:rsid w:val="000B69EC"/>
    <w:rsid w:val="000B78F5"/>
    <w:rsid w:val="000C28F9"/>
    <w:rsid w:val="000C66F6"/>
    <w:rsid w:val="000C6DD2"/>
    <w:rsid w:val="000C6F0E"/>
    <w:rsid w:val="000D1545"/>
    <w:rsid w:val="000D2960"/>
    <w:rsid w:val="000D2C1D"/>
    <w:rsid w:val="000E4BB4"/>
    <w:rsid w:val="000E4BCF"/>
    <w:rsid w:val="000F0523"/>
    <w:rsid w:val="000F08E0"/>
    <w:rsid w:val="000F17B2"/>
    <w:rsid w:val="000F4130"/>
    <w:rsid w:val="000F5868"/>
    <w:rsid w:val="00102355"/>
    <w:rsid w:val="00112309"/>
    <w:rsid w:val="0011667A"/>
    <w:rsid w:val="0011683B"/>
    <w:rsid w:val="0012407C"/>
    <w:rsid w:val="0013083C"/>
    <w:rsid w:val="0013158F"/>
    <w:rsid w:val="00132068"/>
    <w:rsid w:val="0013776E"/>
    <w:rsid w:val="001438C2"/>
    <w:rsid w:val="00144984"/>
    <w:rsid w:val="00151032"/>
    <w:rsid w:val="0015390E"/>
    <w:rsid w:val="00154CCD"/>
    <w:rsid w:val="00162FA2"/>
    <w:rsid w:val="00167297"/>
    <w:rsid w:val="001675B8"/>
    <w:rsid w:val="001712A2"/>
    <w:rsid w:val="00185BFC"/>
    <w:rsid w:val="00185D8B"/>
    <w:rsid w:val="00187BB0"/>
    <w:rsid w:val="00191F4C"/>
    <w:rsid w:val="00193136"/>
    <w:rsid w:val="001B0330"/>
    <w:rsid w:val="001B2FBA"/>
    <w:rsid w:val="001B7FCB"/>
    <w:rsid w:val="001E2C1F"/>
    <w:rsid w:val="001E4670"/>
    <w:rsid w:val="001E776C"/>
    <w:rsid w:val="001F423E"/>
    <w:rsid w:val="001F567E"/>
    <w:rsid w:val="001F70A6"/>
    <w:rsid w:val="001F7B55"/>
    <w:rsid w:val="002005AF"/>
    <w:rsid w:val="00202A79"/>
    <w:rsid w:val="0021042D"/>
    <w:rsid w:val="00212073"/>
    <w:rsid w:val="00213462"/>
    <w:rsid w:val="0021427F"/>
    <w:rsid w:val="002202F5"/>
    <w:rsid w:val="002440B1"/>
    <w:rsid w:val="00252E1F"/>
    <w:rsid w:val="002639AF"/>
    <w:rsid w:val="00264193"/>
    <w:rsid w:val="002706E5"/>
    <w:rsid w:val="002742E6"/>
    <w:rsid w:val="002743E6"/>
    <w:rsid w:val="002908AE"/>
    <w:rsid w:val="00290F55"/>
    <w:rsid w:val="00292036"/>
    <w:rsid w:val="002A41DE"/>
    <w:rsid w:val="002B03B5"/>
    <w:rsid w:val="002B08BA"/>
    <w:rsid w:val="002C2AAC"/>
    <w:rsid w:val="002C582E"/>
    <w:rsid w:val="002C58D5"/>
    <w:rsid w:val="002D1C50"/>
    <w:rsid w:val="002F0866"/>
    <w:rsid w:val="002F5921"/>
    <w:rsid w:val="002F6CF7"/>
    <w:rsid w:val="00301364"/>
    <w:rsid w:val="003013EB"/>
    <w:rsid w:val="00324252"/>
    <w:rsid w:val="00332350"/>
    <w:rsid w:val="0033768B"/>
    <w:rsid w:val="00342EB1"/>
    <w:rsid w:val="003438C7"/>
    <w:rsid w:val="00345349"/>
    <w:rsid w:val="003532A1"/>
    <w:rsid w:val="003577B2"/>
    <w:rsid w:val="003615B4"/>
    <w:rsid w:val="0037130E"/>
    <w:rsid w:val="00374B84"/>
    <w:rsid w:val="00380F35"/>
    <w:rsid w:val="00381164"/>
    <w:rsid w:val="0038191E"/>
    <w:rsid w:val="00381DCB"/>
    <w:rsid w:val="0038216F"/>
    <w:rsid w:val="003945B1"/>
    <w:rsid w:val="003A3FBB"/>
    <w:rsid w:val="003A4369"/>
    <w:rsid w:val="003A43C7"/>
    <w:rsid w:val="003B1204"/>
    <w:rsid w:val="003D1064"/>
    <w:rsid w:val="003D5AD5"/>
    <w:rsid w:val="003D5E53"/>
    <w:rsid w:val="003F0B9C"/>
    <w:rsid w:val="003F346A"/>
    <w:rsid w:val="003F3EFE"/>
    <w:rsid w:val="003F6E87"/>
    <w:rsid w:val="004053E3"/>
    <w:rsid w:val="00415B97"/>
    <w:rsid w:val="00420DC3"/>
    <w:rsid w:val="00424004"/>
    <w:rsid w:val="0042796F"/>
    <w:rsid w:val="00432E48"/>
    <w:rsid w:val="00436CEC"/>
    <w:rsid w:val="0044288A"/>
    <w:rsid w:val="00445B43"/>
    <w:rsid w:val="004468DD"/>
    <w:rsid w:val="00450710"/>
    <w:rsid w:val="0046016B"/>
    <w:rsid w:val="0046167F"/>
    <w:rsid w:val="00462B65"/>
    <w:rsid w:val="00462C35"/>
    <w:rsid w:val="00463F1C"/>
    <w:rsid w:val="00466697"/>
    <w:rsid w:val="00473134"/>
    <w:rsid w:val="0047655A"/>
    <w:rsid w:val="0048085C"/>
    <w:rsid w:val="00480B5C"/>
    <w:rsid w:val="00480CFA"/>
    <w:rsid w:val="0048675D"/>
    <w:rsid w:val="00493F6F"/>
    <w:rsid w:val="00495230"/>
    <w:rsid w:val="00495BA7"/>
    <w:rsid w:val="0049755B"/>
    <w:rsid w:val="004A2961"/>
    <w:rsid w:val="004A4274"/>
    <w:rsid w:val="004A58A0"/>
    <w:rsid w:val="004B05DF"/>
    <w:rsid w:val="004B31C2"/>
    <w:rsid w:val="004B478A"/>
    <w:rsid w:val="004C1D4A"/>
    <w:rsid w:val="004C2470"/>
    <w:rsid w:val="004D058E"/>
    <w:rsid w:val="004E08E5"/>
    <w:rsid w:val="004E460D"/>
    <w:rsid w:val="004E47ED"/>
    <w:rsid w:val="004E5227"/>
    <w:rsid w:val="004E5365"/>
    <w:rsid w:val="004F0D04"/>
    <w:rsid w:val="004F1259"/>
    <w:rsid w:val="004F1FB5"/>
    <w:rsid w:val="004F42C8"/>
    <w:rsid w:val="00503802"/>
    <w:rsid w:val="00503D81"/>
    <w:rsid w:val="005048F2"/>
    <w:rsid w:val="005058F3"/>
    <w:rsid w:val="00506175"/>
    <w:rsid w:val="0050625F"/>
    <w:rsid w:val="00512824"/>
    <w:rsid w:val="00512F22"/>
    <w:rsid w:val="005143F3"/>
    <w:rsid w:val="00515B50"/>
    <w:rsid w:val="00521EE3"/>
    <w:rsid w:val="00523E5C"/>
    <w:rsid w:val="00523EE1"/>
    <w:rsid w:val="00526A9D"/>
    <w:rsid w:val="00533776"/>
    <w:rsid w:val="0053389A"/>
    <w:rsid w:val="0053623F"/>
    <w:rsid w:val="00541B72"/>
    <w:rsid w:val="005429BA"/>
    <w:rsid w:val="00542C90"/>
    <w:rsid w:val="00546DC1"/>
    <w:rsid w:val="00547460"/>
    <w:rsid w:val="00547FEB"/>
    <w:rsid w:val="00550C50"/>
    <w:rsid w:val="00551407"/>
    <w:rsid w:val="00552AD2"/>
    <w:rsid w:val="00556D0D"/>
    <w:rsid w:val="00557F0B"/>
    <w:rsid w:val="005636FD"/>
    <w:rsid w:val="005659BD"/>
    <w:rsid w:val="0057148B"/>
    <w:rsid w:val="005863BC"/>
    <w:rsid w:val="005869EF"/>
    <w:rsid w:val="00596125"/>
    <w:rsid w:val="005A38DE"/>
    <w:rsid w:val="005A5A53"/>
    <w:rsid w:val="005B2D03"/>
    <w:rsid w:val="005C4242"/>
    <w:rsid w:val="005C4E89"/>
    <w:rsid w:val="005C78DA"/>
    <w:rsid w:val="005E2ABC"/>
    <w:rsid w:val="005E3ED4"/>
    <w:rsid w:val="005F281B"/>
    <w:rsid w:val="005F7EF8"/>
    <w:rsid w:val="006056FD"/>
    <w:rsid w:val="00607CA9"/>
    <w:rsid w:val="0061488C"/>
    <w:rsid w:val="006314DE"/>
    <w:rsid w:val="00642C93"/>
    <w:rsid w:val="006540FD"/>
    <w:rsid w:val="00673701"/>
    <w:rsid w:val="00674519"/>
    <w:rsid w:val="00677DB3"/>
    <w:rsid w:val="006800BB"/>
    <w:rsid w:val="006814F3"/>
    <w:rsid w:val="006873D0"/>
    <w:rsid w:val="00687966"/>
    <w:rsid w:val="00691878"/>
    <w:rsid w:val="00693D6B"/>
    <w:rsid w:val="006950F5"/>
    <w:rsid w:val="006977FB"/>
    <w:rsid w:val="006A7EF3"/>
    <w:rsid w:val="006B0FE1"/>
    <w:rsid w:val="006C57FF"/>
    <w:rsid w:val="006C617D"/>
    <w:rsid w:val="006C6B21"/>
    <w:rsid w:val="006C7B73"/>
    <w:rsid w:val="006D7F80"/>
    <w:rsid w:val="006E0811"/>
    <w:rsid w:val="006E50EE"/>
    <w:rsid w:val="006E5B1C"/>
    <w:rsid w:val="006E63CA"/>
    <w:rsid w:val="006F0907"/>
    <w:rsid w:val="006F266B"/>
    <w:rsid w:val="006F28CA"/>
    <w:rsid w:val="006F2AD7"/>
    <w:rsid w:val="006F48FA"/>
    <w:rsid w:val="006F5BB1"/>
    <w:rsid w:val="006F696A"/>
    <w:rsid w:val="0070149A"/>
    <w:rsid w:val="00703AF0"/>
    <w:rsid w:val="00713C88"/>
    <w:rsid w:val="00716810"/>
    <w:rsid w:val="00724D2F"/>
    <w:rsid w:val="00763DAC"/>
    <w:rsid w:val="00775171"/>
    <w:rsid w:val="007803C9"/>
    <w:rsid w:val="00781DB0"/>
    <w:rsid w:val="007846B3"/>
    <w:rsid w:val="00786720"/>
    <w:rsid w:val="007A2AC9"/>
    <w:rsid w:val="007A2BB9"/>
    <w:rsid w:val="007B6A8F"/>
    <w:rsid w:val="007B6E36"/>
    <w:rsid w:val="007C4E10"/>
    <w:rsid w:val="007C5F25"/>
    <w:rsid w:val="007D20A4"/>
    <w:rsid w:val="007D6551"/>
    <w:rsid w:val="007E5FCE"/>
    <w:rsid w:val="007F321C"/>
    <w:rsid w:val="007F7620"/>
    <w:rsid w:val="00801392"/>
    <w:rsid w:val="00801886"/>
    <w:rsid w:val="00802FF5"/>
    <w:rsid w:val="00803D4B"/>
    <w:rsid w:val="00807274"/>
    <w:rsid w:val="00807717"/>
    <w:rsid w:val="00811577"/>
    <w:rsid w:val="00813006"/>
    <w:rsid w:val="008136E9"/>
    <w:rsid w:val="00814239"/>
    <w:rsid w:val="008147FA"/>
    <w:rsid w:val="00820C29"/>
    <w:rsid w:val="00820F82"/>
    <w:rsid w:val="008218BD"/>
    <w:rsid w:val="00823F9E"/>
    <w:rsid w:val="00831889"/>
    <w:rsid w:val="00844AC6"/>
    <w:rsid w:val="008623AC"/>
    <w:rsid w:val="0087266C"/>
    <w:rsid w:val="0087275E"/>
    <w:rsid w:val="00874685"/>
    <w:rsid w:val="00883007"/>
    <w:rsid w:val="008867CA"/>
    <w:rsid w:val="008870E1"/>
    <w:rsid w:val="00890434"/>
    <w:rsid w:val="008932A6"/>
    <w:rsid w:val="00896983"/>
    <w:rsid w:val="008A6258"/>
    <w:rsid w:val="008B5895"/>
    <w:rsid w:val="008C1681"/>
    <w:rsid w:val="008C5191"/>
    <w:rsid w:val="008C6C43"/>
    <w:rsid w:val="008D63CA"/>
    <w:rsid w:val="008D6F1A"/>
    <w:rsid w:val="008E472C"/>
    <w:rsid w:val="0090119B"/>
    <w:rsid w:val="00916453"/>
    <w:rsid w:val="009174AF"/>
    <w:rsid w:val="00921D88"/>
    <w:rsid w:val="00927284"/>
    <w:rsid w:val="00935AB5"/>
    <w:rsid w:val="00935B3A"/>
    <w:rsid w:val="00936E4D"/>
    <w:rsid w:val="00945810"/>
    <w:rsid w:val="009517C2"/>
    <w:rsid w:val="00951991"/>
    <w:rsid w:val="00962617"/>
    <w:rsid w:val="00966365"/>
    <w:rsid w:val="0097457D"/>
    <w:rsid w:val="0097747F"/>
    <w:rsid w:val="00977D07"/>
    <w:rsid w:val="00985042"/>
    <w:rsid w:val="009852DE"/>
    <w:rsid w:val="00994177"/>
    <w:rsid w:val="009A2784"/>
    <w:rsid w:val="009A6377"/>
    <w:rsid w:val="009A7A23"/>
    <w:rsid w:val="009B3544"/>
    <w:rsid w:val="009B4C4E"/>
    <w:rsid w:val="009C2B50"/>
    <w:rsid w:val="009C4A28"/>
    <w:rsid w:val="009C6E07"/>
    <w:rsid w:val="009C7CDB"/>
    <w:rsid w:val="009D29F5"/>
    <w:rsid w:val="009E1122"/>
    <w:rsid w:val="009F1A84"/>
    <w:rsid w:val="009F6F96"/>
    <w:rsid w:val="009F7113"/>
    <w:rsid w:val="009F71D1"/>
    <w:rsid w:val="00A00449"/>
    <w:rsid w:val="00A06E0C"/>
    <w:rsid w:val="00A13871"/>
    <w:rsid w:val="00A21883"/>
    <w:rsid w:val="00A23717"/>
    <w:rsid w:val="00A3041F"/>
    <w:rsid w:val="00A34297"/>
    <w:rsid w:val="00A36DF1"/>
    <w:rsid w:val="00A40C92"/>
    <w:rsid w:val="00A4363D"/>
    <w:rsid w:val="00A44AA0"/>
    <w:rsid w:val="00A53F63"/>
    <w:rsid w:val="00A57041"/>
    <w:rsid w:val="00A60CBA"/>
    <w:rsid w:val="00A60D10"/>
    <w:rsid w:val="00A61331"/>
    <w:rsid w:val="00A660C6"/>
    <w:rsid w:val="00A67ABF"/>
    <w:rsid w:val="00A71127"/>
    <w:rsid w:val="00A73727"/>
    <w:rsid w:val="00A73DB3"/>
    <w:rsid w:val="00A759B5"/>
    <w:rsid w:val="00A80E10"/>
    <w:rsid w:val="00A81824"/>
    <w:rsid w:val="00A85718"/>
    <w:rsid w:val="00A915D5"/>
    <w:rsid w:val="00A91E1D"/>
    <w:rsid w:val="00A945FE"/>
    <w:rsid w:val="00A96232"/>
    <w:rsid w:val="00AA7CAE"/>
    <w:rsid w:val="00AB20CE"/>
    <w:rsid w:val="00AB21D1"/>
    <w:rsid w:val="00AB516E"/>
    <w:rsid w:val="00AC5D2C"/>
    <w:rsid w:val="00AC7C0B"/>
    <w:rsid w:val="00AD167D"/>
    <w:rsid w:val="00AD7A85"/>
    <w:rsid w:val="00AE0C96"/>
    <w:rsid w:val="00AE0D0A"/>
    <w:rsid w:val="00AE181B"/>
    <w:rsid w:val="00B01524"/>
    <w:rsid w:val="00B05620"/>
    <w:rsid w:val="00B05EBD"/>
    <w:rsid w:val="00B12B71"/>
    <w:rsid w:val="00B164FA"/>
    <w:rsid w:val="00B17A91"/>
    <w:rsid w:val="00B21859"/>
    <w:rsid w:val="00B24DEC"/>
    <w:rsid w:val="00B26F29"/>
    <w:rsid w:val="00B35102"/>
    <w:rsid w:val="00B412C7"/>
    <w:rsid w:val="00B4204C"/>
    <w:rsid w:val="00B45835"/>
    <w:rsid w:val="00B4593D"/>
    <w:rsid w:val="00B46895"/>
    <w:rsid w:val="00B55536"/>
    <w:rsid w:val="00B62A09"/>
    <w:rsid w:val="00B67877"/>
    <w:rsid w:val="00B71CFA"/>
    <w:rsid w:val="00B7290F"/>
    <w:rsid w:val="00B73698"/>
    <w:rsid w:val="00B84437"/>
    <w:rsid w:val="00B90DED"/>
    <w:rsid w:val="00B9169C"/>
    <w:rsid w:val="00B93189"/>
    <w:rsid w:val="00B9412E"/>
    <w:rsid w:val="00B9681B"/>
    <w:rsid w:val="00B96AE5"/>
    <w:rsid w:val="00B96C1C"/>
    <w:rsid w:val="00BA4313"/>
    <w:rsid w:val="00BA483E"/>
    <w:rsid w:val="00BA54C9"/>
    <w:rsid w:val="00BA7C61"/>
    <w:rsid w:val="00BB2A73"/>
    <w:rsid w:val="00BB3D9F"/>
    <w:rsid w:val="00BD4456"/>
    <w:rsid w:val="00BD4A11"/>
    <w:rsid w:val="00BD6D48"/>
    <w:rsid w:val="00BE189E"/>
    <w:rsid w:val="00BE492A"/>
    <w:rsid w:val="00BE63EE"/>
    <w:rsid w:val="00BF0415"/>
    <w:rsid w:val="00BF1844"/>
    <w:rsid w:val="00BF2D5F"/>
    <w:rsid w:val="00C00975"/>
    <w:rsid w:val="00C10492"/>
    <w:rsid w:val="00C12EE2"/>
    <w:rsid w:val="00C14A00"/>
    <w:rsid w:val="00C1695F"/>
    <w:rsid w:val="00C17EA6"/>
    <w:rsid w:val="00C26147"/>
    <w:rsid w:val="00C34198"/>
    <w:rsid w:val="00C430E2"/>
    <w:rsid w:val="00C51672"/>
    <w:rsid w:val="00C608B4"/>
    <w:rsid w:val="00C61085"/>
    <w:rsid w:val="00C63B72"/>
    <w:rsid w:val="00C646B5"/>
    <w:rsid w:val="00C707F2"/>
    <w:rsid w:val="00C73630"/>
    <w:rsid w:val="00C73855"/>
    <w:rsid w:val="00C75905"/>
    <w:rsid w:val="00C75A4A"/>
    <w:rsid w:val="00C7798C"/>
    <w:rsid w:val="00C83BED"/>
    <w:rsid w:val="00C8406F"/>
    <w:rsid w:val="00C873A5"/>
    <w:rsid w:val="00C94AC1"/>
    <w:rsid w:val="00CA011F"/>
    <w:rsid w:val="00CA754E"/>
    <w:rsid w:val="00CB2481"/>
    <w:rsid w:val="00CB6111"/>
    <w:rsid w:val="00CC52A5"/>
    <w:rsid w:val="00CD41FB"/>
    <w:rsid w:val="00CE4031"/>
    <w:rsid w:val="00CE6C50"/>
    <w:rsid w:val="00CF5612"/>
    <w:rsid w:val="00D12A29"/>
    <w:rsid w:val="00D12A77"/>
    <w:rsid w:val="00D1310D"/>
    <w:rsid w:val="00D16C8E"/>
    <w:rsid w:val="00D17404"/>
    <w:rsid w:val="00D20E66"/>
    <w:rsid w:val="00D23683"/>
    <w:rsid w:val="00D25A62"/>
    <w:rsid w:val="00D2600E"/>
    <w:rsid w:val="00D26BC0"/>
    <w:rsid w:val="00D270B9"/>
    <w:rsid w:val="00D27F2C"/>
    <w:rsid w:val="00D37BB8"/>
    <w:rsid w:val="00D43CF6"/>
    <w:rsid w:val="00D43E5E"/>
    <w:rsid w:val="00D446AC"/>
    <w:rsid w:val="00D515AF"/>
    <w:rsid w:val="00D57015"/>
    <w:rsid w:val="00D63F92"/>
    <w:rsid w:val="00D6466A"/>
    <w:rsid w:val="00D81D78"/>
    <w:rsid w:val="00D83E9F"/>
    <w:rsid w:val="00D86E39"/>
    <w:rsid w:val="00D94C88"/>
    <w:rsid w:val="00DA4D1C"/>
    <w:rsid w:val="00DB10A5"/>
    <w:rsid w:val="00DB41F3"/>
    <w:rsid w:val="00DB56FE"/>
    <w:rsid w:val="00DB72A1"/>
    <w:rsid w:val="00DC1547"/>
    <w:rsid w:val="00DC1AA9"/>
    <w:rsid w:val="00DC3333"/>
    <w:rsid w:val="00DC49C2"/>
    <w:rsid w:val="00DC7AD3"/>
    <w:rsid w:val="00DD1DC8"/>
    <w:rsid w:val="00DE39C0"/>
    <w:rsid w:val="00DE6CF7"/>
    <w:rsid w:val="00DF6E76"/>
    <w:rsid w:val="00E02CC5"/>
    <w:rsid w:val="00E03D40"/>
    <w:rsid w:val="00E05A9E"/>
    <w:rsid w:val="00E1259B"/>
    <w:rsid w:val="00E157A0"/>
    <w:rsid w:val="00E318D6"/>
    <w:rsid w:val="00E34F59"/>
    <w:rsid w:val="00E35076"/>
    <w:rsid w:val="00E46E2C"/>
    <w:rsid w:val="00E47803"/>
    <w:rsid w:val="00E51EAC"/>
    <w:rsid w:val="00E51EEE"/>
    <w:rsid w:val="00E527B6"/>
    <w:rsid w:val="00E532F7"/>
    <w:rsid w:val="00E57717"/>
    <w:rsid w:val="00E763E3"/>
    <w:rsid w:val="00E904B4"/>
    <w:rsid w:val="00E95FD9"/>
    <w:rsid w:val="00EA6938"/>
    <w:rsid w:val="00EB68F2"/>
    <w:rsid w:val="00EC0765"/>
    <w:rsid w:val="00ED1893"/>
    <w:rsid w:val="00ED60F0"/>
    <w:rsid w:val="00ED78DB"/>
    <w:rsid w:val="00ED7B94"/>
    <w:rsid w:val="00EE0437"/>
    <w:rsid w:val="00EE4B7A"/>
    <w:rsid w:val="00EE696B"/>
    <w:rsid w:val="00EE758F"/>
    <w:rsid w:val="00EF3384"/>
    <w:rsid w:val="00EF5A75"/>
    <w:rsid w:val="00F02640"/>
    <w:rsid w:val="00F12143"/>
    <w:rsid w:val="00F12D67"/>
    <w:rsid w:val="00F15778"/>
    <w:rsid w:val="00F17C4C"/>
    <w:rsid w:val="00F26065"/>
    <w:rsid w:val="00F310E3"/>
    <w:rsid w:val="00F32FB8"/>
    <w:rsid w:val="00F471F5"/>
    <w:rsid w:val="00F47970"/>
    <w:rsid w:val="00F5029F"/>
    <w:rsid w:val="00F55856"/>
    <w:rsid w:val="00F56C87"/>
    <w:rsid w:val="00F64CB3"/>
    <w:rsid w:val="00F67E67"/>
    <w:rsid w:val="00F727CC"/>
    <w:rsid w:val="00F737C5"/>
    <w:rsid w:val="00F753C2"/>
    <w:rsid w:val="00F81FBE"/>
    <w:rsid w:val="00F84B22"/>
    <w:rsid w:val="00F86ABE"/>
    <w:rsid w:val="00F907A7"/>
    <w:rsid w:val="00F944CD"/>
    <w:rsid w:val="00F95804"/>
    <w:rsid w:val="00F9771C"/>
    <w:rsid w:val="00F979BF"/>
    <w:rsid w:val="00FB1CD8"/>
    <w:rsid w:val="00FB20EB"/>
    <w:rsid w:val="00FB4BB5"/>
    <w:rsid w:val="00FC3673"/>
    <w:rsid w:val="00FD2D5A"/>
    <w:rsid w:val="00FD55CA"/>
    <w:rsid w:val="00FE0C55"/>
    <w:rsid w:val="00FE22A0"/>
    <w:rsid w:val="00FE6CA1"/>
    <w:rsid w:val="00FE70CB"/>
    <w:rsid w:val="00FE7360"/>
    <w:rsid w:val="00FE7E1B"/>
    <w:rsid w:val="00FF35A6"/>
    <w:rsid w:val="00FF59B3"/>
    <w:rsid w:val="00FF62E0"/>
    <w:rsid w:val="00FF76FC"/>
    <w:rsid w:val="01520AA4"/>
    <w:rsid w:val="015902C7"/>
    <w:rsid w:val="017734C4"/>
    <w:rsid w:val="019A5532"/>
    <w:rsid w:val="01AF67C0"/>
    <w:rsid w:val="01CE7D24"/>
    <w:rsid w:val="01E82BE5"/>
    <w:rsid w:val="01EB5EF8"/>
    <w:rsid w:val="023C761D"/>
    <w:rsid w:val="02427F8B"/>
    <w:rsid w:val="02566302"/>
    <w:rsid w:val="02986B0E"/>
    <w:rsid w:val="0299720E"/>
    <w:rsid w:val="02BD1279"/>
    <w:rsid w:val="02BF1FAA"/>
    <w:rsid w:val="02FA30D3"/>
    <w:rsid w:val="033110ED"/>
    <w:rsid w:val="035B1228"/>
    <w:rsid w:val="036D74D8"/>
    <w:rsid w:val="0370786C"/>
    <w:rsid w:val="04027582"/>
    <w:rsid w:val="040F4E7F"/>
    <w:rsid w:val="042C14C7"/>
    <w:rsid w:val="048C542A"/>
    <w:rsid w:val="04906588"/>
    <w:rsid w:val="04AA4C0D"/>
    <w:rsid w:val="04AC72EC"/>
    <w:rsid w:val="04CB15EC"/>
    <w:rsid w:val="05073B6D"/>
    <w:rsid w:val="050D2202"/>
    <w:rsid w:val="050E6129"/>
    <w:rsid w:val="05190704"/>
    <w:rsid w:val="051A759B"/>
    <w:rsid w:val="05270DB5"/>
    <w:rsid w:val="0580226C"/>
    <w:rsid w:val="05D6062C"/>
    <w:rsid w:val="05E02C5B"/>
    <w:rsid w:val="06020FA3"/>
    <w:rsid w:val="06243902"/>
    <w:rsid w:val="063A78C0"/>
    <w:rsid w:val="06670FAD"/>
    <w:rsid w:val="06750C66"/>
    <w:rsid w:val="070521FE"/>
    <w:rsid w:val="07116147"/>
    <w:rsid w:val="072C6AB1"/>
    <w:rsid w:val="07576574"/>
    <w:rsid w:val="075E76FE"/>
    <w:rsid w:val="077A46CE"/>
    <w:rsid w:val="077D7634"/>
    <w:rsid w:val="07B122A2"/>
    <w:rsid w:val="07B60CA2"/>
    <w:rsid w:val="07FD5B4D"/>
    <w:rsid w:val="08495AAD"/>
    <w:rsid w:val="08524FDB"/>
    <w:rsid w:val="0855720F"/>
    <w:rsid w:val="088D5F5C"/>
    <w:rsid w:val="08954AAB"/>
    <w:rsid w:val="08B71729"/>
    <w:rsid w:val="093F186A"/>
    <w:rsid w:val="09705641"/>
    <w:rsid w:val="0997077C"/>
    <w:rsid w:val="09FF5649"/>
    <w:rsid w:val="0A071AF4"/>
    <w:rsid w:val="0A260FC3"/>
    <w:rsid w:val="0A4E254C"/>
    <w:rsid w:val="0A697E34"/>
    <w:rsid w:val="0AC70EAF"/>
    <w:rsid w:val="0ACA4546"/>
    <w:rsid w:val="0AD17174"/>
    <w:rsid w:val="0AE82367"/>
    <w:rsid w:val="0B117617"/>
    <w:rsid w:val="0B290A93"/>
    <w:rsid w:val="0BA525D8"/>
    <w:rsid w:val="0BD50CE3"/>
    <w:rsid w:val="0BD9761D"/>
    <w:rsid w:val="0BEE2901"/>
    <w:rsid w:val="0C1C4767"/>
    <w:rsid w:val="0C1F3CBE"/>
    <w:rsid w:val="0C2F6006"/>
    <w:rsid w:val="0C5B37C6"/>
    <w:rsid w:val="0C625853"/>
    <w:rsid w:val="0C6C07E8"/>
    <w:rsid w:val="0C8352C9"/>
    <w:rsid w:val="0C88726E"/>
    <w:rsid w:val="0C98437D"/>
    <w:rsid w:val="0CBC09F8"/>
    <w:rsid w:val="0CC122F7"/>
    <w:rsid w:val="0CED4903"/>
    <w:rsid w:val="0D1C770D"/>
    <w:rsid w:val="0D39451C"/>
    <w:rsid w:val="0D49663A"/>
    <w:rsid w:val="0D5E5DCC"/>
    <w:rsid w:val="0DFC52A1"/>
    <w:rsid w:val="0E473521"/>
    <w:rsid w:val="0E483749"/>
    <w:rsid w:val="0E4F6D2E"/>
    <w:rsid w:val="0E7864B7"/>
    <w:rsid w:val="0EA52868"/>
    <w:rsid w:val="0F3611B0"/>
    <w:rsid w:val="0F465E03"/>
    <w:rsid w:val="0F5951D3"/>
    <w:rsid w:val="0F62183F"/>
    <w:rsid w:val="0F681E22"/>
    <w:rsid w:val="0F9262E5"/>
    <w:rsid w:val="10315608"/>
    <w:rsid w:val="1034711C"/>
    <w:rsid w:val="10390CED"/>
    <w:rsid w:val="10392FCE"/>
    <w:rsid w:val="10680058"/>
    <w:rsid w:val="108813A4"/>
    <w:rsid w:val="108D7FEC"/>
    <w:rsid w:val="108F5946"/>
    <w:rsid w:val="10B70ADD"/>
    <w:rsid w:val="10EB0A61"/>
    <w:rsid w:val="10F96CD3"/>
    <w:rsid w:val="11230728"/>
    <w:rsid w:val="11426F1D"/>
    <w:rsid w:val="114B1748"/>
    <w:rsid w:val="11714A01"/>
    <w:rsid w:val="117B7F5E"/>
    <w:rsid w:val="117D0B05"/>
    <w:rsid w:val="117E3EBF"/>
    <w:rsid w:val="11973FF7"/>
    <w:rsid w:val="11A63895"/>
    <w:rsid w:val="11AA0E33"/>
    <w:rsid w:val="11D465DE"/>
    <w:rsid w:val="12050D3E"/>
    <w:rsid w:val="120C29E8"/>
    <w:rsid w:val="12356713"/>
    <w:rsid w:val="124E6914"/>
    <w:rsid w:val="129231B2"/>
    <w:rsid w:val="12954D8A"/>
    <w:rsid w:val="129D4E9C"/>
    <w:rsid w:val="12F51579"/>
    <w:rsid w:val="13042B7A"/>
    <w:rsid w:val="131379BB"/>
    <w:rsid w:val="13226F78"/>
    <w:rsid w:val="1338631F"/>
    <w:rsid w:val="137032B7"/>
    <w:rsid w:val="13810D77"/>
    <w:rsid w:val="13B124D5"/>
    <w:rsid w:val="13D20EA5"/>
    <w:rsid w:val="13F14B1A"/>
    <w:rsid w:val="13F9694A"/>
    <w:rsid w:val="14206501"/>
    <w:rsid w:val="14333776"/>
    <w:rsid w:val="144F6715"/>
    <w:rsid w:val="14742001"/>
    <w:rsid w:val="147C6D6F"/>
    <w:rsid w:val="147E111F"/>
    <w:rsid w:val="14AA5797"/>
    <w:rsid w:val="14B71172"/>
    <w:rsid w:val="14D62ED9"/>
    <w:rsid w:val="14E37823"/>
    <w:rsid w:val="154A53BC"/>
    <w:rsid w:val="15667555"/>
    <w:rsid w:val="156F7A0A"/>
    <w:rsid w:val="15A332CF"/>
    <w:rsid w:val="15C846B9"/>
    <w:rsid w:val="15FF72D7"/>
    <w:rsid w:val="16150220"/>
    <w:rsid w:val="161C105C"/>
    <w:rsid w:val="162A3C2A"/>
    <w:rsid w:val="164342FA"/>
    <w:rsid w:val="16A22BEB"/>
    <w:rsid w:val="16B966B9"/>
    <w:rsid w:val="16CB645F"/>
    <w:rsid w:val="16D97C62"/>
    <w:rsid w:val="16E51ADE"/>
    <w:rsid w:val="16ED66C8"/>
    <w:rsid w:val="171820A2"/>
    <w:rsid w:val="172D2622"/>
    <w:rsid w:val="173264E4"/>
    <w:rsid w:val="173D293E"/>
    <w:rsid w:val="174803A4"/>
    <w:rsid w:val="17571001"/>
    <w:rsid w:val="175A3BA0"/>
    <w:rsid w:val="179E3A27"/>
    <w:rsid w:val="17D44EBC"/>
    <w:rsid w:val="17DD01BC"/>
    <w:rsid w:val="17F01824"/>
    <w:rsid w:val="181270D8"/>
    <w:rsid w:val="18323083"/>
    <w:rsid w:val="183A7AB3"/>
    <w:rsid w:val="184335AA"/>
    <w:rsid w:val="185C4B83"/>
    <w:rsid w:val="186E798F"/>
    <w:rsid w:val="189B082A"/>
    <w:rsid w:val="18B4343B"/>
    <w:rsid w:val="18B45F0F"/>
    <w:rsid w:val="193852F7"/>
    <w:rsid w:val="194543F2"/>
    <w:rsid w:val="194B4829"/>
    <w:rsid w:val="19571FB6"/>
    <w:rsid w:val="19924931"/>
    <w:rsid w:val="19DD252D"/>
    <w:rsid w:val="1A271902"/>
    <w:rsid w:val="1A3037C7"/>
    <w:rsid w:val="1A403DCE"/>
    <w:rsid w:val="1AD10C6D"/>
    <w:rsid w:val="1AD5060B"/>
    <w:rsid w:val="1ADD1051"/>
    <w:rsid w:val="1B0547EF"/>
    <w:rsid w:val="1B170F6C"/>
    <w:rsid w:val="1B1F0699"/>
    <w:rsid w:val="1B200CF6"/>
    <w:rsid w:val="1B2E05FE"/>
    <w:rsid w:val="1B3827EF"/>
    <w:rsid w:val="1B645602"/>
    <w:rsid w:val="1B804CE5"/>
    <w:rsid w:val="1B8A464E"/>
    <w:rsid w:val="1BAC44A2"/>
    <w:rsid w:val="1BDD17E7"/>
    <w:rsid w:val="1C0A3A87"/>
    <w:rsid w:val="1C2D520C"/>
    <w:rsid w:val="1C2D7855"/>
    <w:rsid w:val="1C4200E7"/>
    <w:rsid w:val="1CA7647F"/>
    <w:rsid w:val="1CB1569A"/>
    <w:rsid w:val="1CB313F6"/>
    <w:rsid w:val="1CD30593"/>
    <w:rsid w:val="1D0D6BCC"/>
    <w:rsid w:val="1D0D7CB3"/>
    <w:rsid w:val="1D163CBE"/>
    <w:rsid w:val="1D3A13B3"/>
    <w:rsid w:val="1D442BA6"/>
    <w:rsid w:val="1D503F50"/>
    <w:rsid w:val="1DF5193B"/>
    <w:rsid w:val="1E066B9C"/>
    <w:rsid w:val="1E144AB1"/>
    <w:rsid w:val="1E1A2EA7"/>
    <w:rsid w:val="1E1C5E73"/>
    <w:rsid w:val="1E3137A3"/>
    <w:rsid w:val="1E3D5BFF"/>
    <w:rsid w:val="1E4E4EFB"/>
    <w:rsid w:val="1E5A0DBD"/>
    <w:rsid w:val="1E5B585E"/>
    <w:rsid w:val="1E5F0290"/>
    <w:rsid w:val="1E8563ED"/>
    <w:rsid w:val="1EA0459D"/>
    <w:rsid w:val="1EB21D4C"/>
    <w:rsid w:val="1EC006BC"/>
    <w:rsid w:val="1ED42809"/>
    <w:rsid w:val="1F055C18"/>
    <w:rsid w:val="1F230341"/>
    <w:rsid w:val="1F39749D"/>
    <w:rsid w:val="1F492E83"/>
    <w:rsid w:val="1F4B0B2C"/>
    <w:rsid w:val="1F6A2CF4"/>
    <w:rsid w:val="1F6E03EF"/>
    <w:rsid w:val="1F820AF2"/>
    <w:rsid w:val="1FC05292"/>
    <w:rsid w:val="1FC34290"/>
    <w:rsid w:val="1FCF546C"/>
    <w:rsid w:val="1FFD6FC8"/>
    <w:rsid w:val="202279CC"/>
    <w:rsid w:val="202369B8"/>
    <w:rsid w:val="20441B19"/>
    <w:rsid w:val="20663493"/>
    <w:rsid w:val="207A5FE1"/>
    <w:rsid w:val="20A6481A"/>
    <w:rsid w:val="20A97C57"/>
    <w:rsid w:val="20B87A68"/>
    <w:rsid w:val="20BF45FE"/>
    <w:rsid w:val="20C70459"/>
    <w:rsid w:val="20CD1468"/>
    <w:rsid w:val="2102069D"/>
    <w:rsid w:val="210B7974"/>
    <w:rsid w:val="215F78EC"/>
    <w:rsid w:val="21A7183B"/>
    <w:rsid w:val="22160B82"/>
    <w:rsid w:val="221D5247"/>
    <w:rsid w:val="22451310"/>
    <w:rsid w:val="224C6B49"/>
    <w:rsid w:val="22633CAD"/>
    <w:rsid w:val="2294462F"/>
    <w:rsid w:val="229F23A9"/>
    <w:rsid w:val="22BA1EBD"/>
    <w:rsid w:val="22D26F9A"/>
    <w:rsid w:val="22E60460"/>
    <w:rsid w:val="22F54FBD"/>
    <w:rsid w:val="230F44D7"/>
    <w:rsid w:val="23202817"/>
    <w:rsid w:val="23875C45"/>
    <w:rsid w:val="23B12896"/>
    <w:rsid w:val="23F316BB"/>
    <w:rsid w:val="24496520"/>
    <w:rsid w:val="245F0113"/>
    <w:rsid w:val="24920E69"/>
    <w:rsid w:val="24963225"/>
    <w:rsid w:val="24994A73"/>
    <w:rsid w:val="24AE3B11"/>
    <w:rsid w:val="24EC4414"/>
    <w:rsid w:val="25046605"/>
    <w:rsid w:val="25283ED4"/>
    <w:rsid w:val="25377C12"/>
    <w:rsid w:val="25613765"/>
    <w:rsid w:val="25844BC0"/>
    <w:rsid w:val="25900AA9"/>
    <w:rsid w:val="25B0273C"/>
    <w:rsid w:val="25B86354"/>
    <w:rsid w:val="25D45C3E"/>
    <w:rsid w:val="25DB33D1"/>
    <w:rsid w:val="25DD61F7"/>
    <w:rsid w:val="26163E7C"/>
    <w:rsid w:val="26254552"/>
    <w:rsid w:val="26472EF4"/>
    <w:rsid w:val="2650009F"/>
    <w:rsid w:val="26D07796"/>
    <w:rsid w:val="273C3D48"/>
    <w:rsid w:val="27405202"/>
    <w:rsid w:val="276E7580"/>
    <w:rsid w:val="277070EA"/>
    <w:rsid w:val="279E1806"/>
    <w:rsid w:val="279F27E3"/>
    <w:rsid w:val="27D108BA"/>
    <w:rsid w:val="27EA3F9C"/>
    <w:rsid w:val="27EF600E"/>
    <w:rsid w:val="281E11E4"/>
    <w:rsid w:val="28286A23"/>
    <w:rsid w:val="285F2805"/>
    <w:rsid w:val="289E4BA7"/>
    <w:rsid w:val="28B92147"/>
    <w:rsid w:val="28D6499B"/>
    <w:rsid w:val="29341084"/>
    <w:rsid w:val="294D23A3"/>
    <w:rsid w:val="295A3ADD"/>
    <w:rsid w:val="29802FB2"/>
    <w:rsid w:val="29D26BE3"/>
    <w:rsid w:val="29F3177B"/>
    <w:rsid w:val="2A19597B"/>
    <w:rsid w:val="2A6C2D68"/>
    <w:rsid w:val="2A7439F6"/>
    <w:rsid w:val="2A943DAD"/>
    <w:rsid w:val="2AD6659D"/>
    <w:rsid w:val="2AEA69C9"/>
    <w:rsid w:val="2AFF1738"/>
    <w:rsid w:val="2B185BD7"/>
    <w:rsid w:val="2B371124"/>
    <w:rsid w:val="2B376F2C"/>
    <w:rsid w:val="2B417276"/>
    <w:rsid w:val="2B5A5895"/>
    <w:rsid w:val="2B5D08F7"/>
    <w:rsid w:val="2BA702B7"/>
    <w:rsid w:val="2BC36D5D"/>
    <w:rsid w:val="2C456DB2"/>
    <w:rsid w:val="2C4F787A"/>
    <w:rsid w:val="2C696C08"/>
    <w:rsid w:val="2C764B59"/>
    <w:rsid w:val="2C767418"/>
    <w:rsid w:val="2C852F06"/>
    <w:rsid w:val="2C9F53AF"/>
    <w:rsid w:val="2CAD3117"/>
    <w:rsid w:val="2CBA641B"/>
    <w:rsid w:val="2CFB4920"/>
    <w:rsid w:val="2D982E0B"/>
    <w:rsid w:val="2DA20924"/>
    <w:rsid w:val="2DD05EEA"/>
    <w:rsid w:val="2DD545DA"/>
    <w:rsid w:val="2DEB7174"/>
    <w:rsid w:val="2DEE5C16"/>
    <w:rsid w:val="2E072654"/>
    <w:rsid w:val="2E4C0591"/>
    <w:rsid w:val="2EB6719F"/>
    <w:rsid w:val="2EBF7215"/>
    <w:rsid w:val="2F00532F"/>
    <w:rsid w:val="2F1965ED"/>
    <w:rsid w:val="2F2E122B"/>
    <w:rsid w:val="2F5F70A7"/>
    <w:rsid w:val="2F6333F4"/>
    <w:rsid w:val="2F9075F6"/>
    <w:rsid w:val="2F991917"/>
    <w:rsid w:val="2FF1709A"/>
    <w:rsid w:val="301A1280"/>
    <w:rsid w:val="304F32F8"/>
    <w:rsid w:val="30612F4C"/>
    <w:rsid w:val="307B4A76"/>
    <w:rsid w:val="308B4804"/>
    <w:rsid w:val="30933952"/>
    <w:rsid w:val="30B90832"/>
    <w:rsid w:val="313951D9"/>
    <w:rsid w:val="317D29E4"/>
    <w:rsid w:val="317F3D7D"/>
    <w:rsid w:val="31B60DCF"/>
    <w:rsid w:val="31CD0C24"/>
    <w:rsid w:val="31F0559B"/>
    <w:rsid w:val="3203475A"/>
    <w:rsid w:val="322963D4"/>
    <w:rsid w:val="32476A34"/>
    <w:rsid w:val="325219A2"/>
    <w:rsid w:val="32A01606"/>
    <w:rsid w:val="32C94A9C"/>
    <w:rsid w:val="32E207B7"/>
    <w:rsid w:val="32FB7A77"/>
    <w:rsid w:val="332D454F"/>
    <w:rsid w:val="334E1463"/>
    <w:rsid w:val="33573F06"/>
    <w:rsid w:val="33675FE5"/>
    <w:rsid w:val="33AD11D7"/>
    <w:rsid w:val="33BE5DDC"/>
    <w:rsid w:val="340E7B8F"/>
    <w:rsid w:val="34111219"/>
    <w:rsid w:val="344275D6"/>
    <w:rsid w:val="34763BE6"/>
    <w:rsid w:val="34891CAF"/>
    <w:rsid w:val="34983E85"/>
    <w:rsid w:val="34A07D70"/>
    <w:rsid w:val="34BC2C7B"/>
    <w:rsid w:val="34F03F21"/>
    <w:rsid w:val="353C73E3"/>
    <w:rsid w:val="35643A9D"/>
    <w:rsid w:val="3575147E"/>
    <w:rsid w:val="35A63D95"/>
    <w:rsid w:val="35AB3B2B"/>
    <w:rsid w:val="35B11597"/>
    <w:rsid w:val="35F61457"/>
    <w:rsid w:val="36094C18"/>
    <w:rsid w:val="360B3E62"/>
    <w:rsid w:val="367F29FE"/>
    <w:rsid w:val="36B75D17"/>
    <w:rsid w:val="36D125AE"/>
    <w:rsid w:val="36D72917"/>
    <w:rsid w:val="36E41E01"/>
    <w:rsid w:val="370E4390"/>
    <w:rsid w:val="3744619F"/>
    <w:rsid w:val="37692CC0"/>
    <w:rsid w:val="37797AAB"/>
    <w:rsid w:val="37965565"/>
    <w:rsid w:val="37F2708E"/>
    <w:rsid w:val="381066D4"/>
    <w:rsid w:val="38195423"/>
    <w:rsid w:val="387678EF"/>
    <w:rsid w:val="387A126C"/>
    <w:rsid w:val="388001CE"/>
    <w:rsid w:val="388E3CF1"/>
    <w:rsid w:val="393178CE"/>
    <w:rsid w:val="39490934"/>
    <w:rsid w:val="395B7FBE"/>
    <w:rsid w:val="3964294B"/>
    <w:rsid w:val="3965798E"/>
    <w:rsid w:val="39660812"/>
    <w:rsid w:val="3971655D"/>
    <w:rsid w:val="39776274"/>
    <w:rsid w:val="397B07A1"/>
    <w:rsid w:val="399E7AEA"/>
    <w:rsid w:val="39D5177E"/>
    <w:rsid w:val="39F13AB7"/>
    <w:rsid w:val="39FF160E"/>
    <w:rsid w:val="3A082B3E"/>
    <w:rsid w:val="3A245912"/>
    <w:rsid w:val="3A5827AC"/>
    <w:rsid w:val="3A6E40BA"/>
    <w:rsid w:val="3A8525FC"/>
    <w:rsid w:val="3AC91B59"/>
    <w:rsid w:val="3AD4225A"/>
    <w:rsid w:val="3AD45AEE"/>
    <w:rsid w:val="3B265EE6"/>
    <w:rsid w:val="3B2958E9"/>
    <w:rsid w:val="3B3A27D6"/>
    <w:rsid w:val="3B407228"/>
    <w:rsid w:val="3B4A408F"/>
    <w:rsid w:val="3B4F31CD"/>
    <w:rsid w:val="3B5D0E2D"/>
    <w:rsid w:val="3B7E64BE"/>
    <w:rsid w:val="3B81045E"/>
    <w:rsid w:val="3BAE26C7"/>
    <w:rsid w:val="3BB450D2"/>
    <w:rsid w:val="3BD13A15"/>
    <w:rsid w:val="3BE81CD4"/>
    <w:rsid w:val="3C016259"/>
    <w:rsid w:val="3C0C648C"/>
    <w:rsid w:val="3C806348"/>
    <w:rsid w:val="3C8209E4"/>
    <w:rsid w:val="3C8C1D3C"/>
    <w:rsid w:val="3C8F57FE"/>
    <w:rsid w:val="3CA65007"/>
    <w:rsid w:val="3CD978E3"/>
    <w:rsid w:val="3CF86644"/>
    <w:rsid w:val="3D11205B"/>
    <w:rsid w:val="3D3D55B3"/>
    <w:rsid w:val="3DAC5982"/>
    <w:rsid w:val="3DD57647"/>
    <w:rsid w:val="3DF57717"/>
    <w:rsid w:val="3DF95085"/>
    <w:rsid w:val="3E0524C2"/>
    <w:rsid w:val="3E2A2B34"/>
    <w:rsid w:val="3E583E8E"/>
    <w:rsid w:val="3E87586E"/>
    <w:rsid w:val="3ECC2AA4"/>
    <w:rsid w:val="3F12480E"/>
    <w:rsid w:val="3F50722A"/>
    <w:rsid w:val="3F547CFB"/>
    <w:rsid w:val="3F577E93"/>
    <w:rsid w:val="3F5922C0"/>
    <w:rsid w:val="3F645D9C"/>
    <w:rsid w:val="3FC3473C"/>
    <w:rsid w:val="3FCB50B3"/>
    <w:rsid w:val="3FDF4941"/>
    <w:rsid w:val="3FE168EF"/>
    <w:rsid w:val="3FEC750F"/>
    <w:rsid w:val="403E45A7"/>
    <w:rsid w:val="405A34BE"/>
    <w:rsid w:val="406A2E1E"/>
    <w:rsid w:val="40917FC2"/>
    <w:rsid w:val="40B251CA"/>
    <w:rsid w:val="40B703E9"/>
    <w:rsid w:val="40D12F9B"/>
    <w:rsid w:val="40D50F73"/>
    <w:rsid w:val="40E765BD"/>
    <w:rsid w:val="414E6719"/>
    <w:rsid w:val="415B07A2"/>
    <w:rsid w:val="417A46D4"/>
    <w:rsid w:val="419345E1"/>
    <w:rsid w:val="41940CDA"/>
    <w:rsid w:val="41CF0BCF"/>
    <w:rsid w:val="41D427C4"/>
    <w:rsid w:val="41E04248"/>
    <w:rsid w:val="41E47BF1"/>
    <w:rsid w:val="41E5185C"/>
    <w:rsid w:val="42042CCA"/>
    <w:rsid w:val="42650AB4"/>
    <w:rsid w:val="427A2C0E"/>
    <w:rsid w:val="428B33EB"/>
    <w:rsid w:val="428D2062"/>
    <w:rsid w:val="42BE063F"/>
    <w:rsid w:val="43134459"/>
    <w:rsid w:val="43163E4F"/>
    <w:rsid w:val="43482809"/>
    <w:rsid w:val="436E35F1"/>
    <w:rsid w:val="43727FC7"/>
    <w:rsid w:val="43794BD1"/>
    <w:rsid w:val="43902086"/>
    <w:rsid w:val="43DB473E"/>
    <w:rsid w:val="43FC7009"/>
    <w:rsid w:val="44781099"/>
    <w:rsid w:val="44B873F6"/>
    <w:rsid w:val="44C57EEC"/>
    <w:rsid w:val="44D70159"/>
    <w:rsid w:val="44E93621"/>
    <w:rsid w:val="45136C65"/>
    <w:rsid w:val="451458F7"/>
    <w:rsid w:val="4553238D"/>
    <w:rsid w:val="45713839"/>
    <w:rsid w:val="45F0194D"/>
    <w:rsid w:val="461A78A6"/>
    <w:rsid w:val="46A301C2"/>
    <w:rsid w:val="46A72D5F"/>
    <w:rsid w:val="46AE0331"/>
    <w:rsid w:val="46B215A3"/>
    <w:rsid w:val="46BF0C45"/>
    <w:rsid w:val="46C36755"/>
    <w:rsid w:val="46D027AA"/>
    <w:rsid w:val="46E22DFA"/>
    <w:rsid w:val="46FE630F"/>
    <w:rsid w:val="47096150"/>
    <w:rsid w:val="47204C82"/>
    <w:rsid w:val="47246C39"/>
    <w:rsid w:val="47440ED2"/>
    <w:rsid w:val="47723768"/>
    <w:rsid w:val="477A4296"/>
    <w:rsid w:val="478C3547"/>
    <w:rsid w:val="479D6455"/>
    <w:rsid w:val="47D9353C"/>
    <w:rsid w:val="47D93544"/>
    <w:rsid w:val="47DE29E6"/>
    <w:rsid w:val="47E30E5E"/>
    <w:rsid w:val="47FB70B2"/>
    <w:rsid w:val="484E2A87"/>
    <w:rsid w:val="48690797"/>
    <w:rsid w:val="48756BB9"/>
    <w:rsid w:val="48B42737"/>
    <w:rsid w:val="48B5112D"/>
    <w:rsid w:val="48DC1D50"/>
    <w:rsid w:val="48DD2962"/>
    <w:rsid w:val="49413270"/>
    <w:rsid w:val="494144BF"/>
    <w:rsid w:val="4942032F"/>
    <w:rsid w:val="49490BB1"/>
    <w:rsid w:val="49692915"/>
    <w:rsid w:val="49A60E00"/>
    <w:rsid w:val="49CB1B9D"/>
    <w:rsid w:val="49EF1F42"/>
    <w:rsid w:val="4A3847B0"/>
    <w:rsid w:val="4A3F772C"/>
    <w:rsid w:val="4A6603DD"/>
    <w:rsid w:val="4A6E7668"/>
    <w:rsid w:val="4A736964"/>
    <w:rsid w:val="4A8D3307"/>
    <w:rsid w:val="4A9647BF"/>
    <w:rsid w:val="4AB91C79"/>
    <w:rsid w:val="4ABA45EC"/>
    <w:rsid w:val="4AED6082"/>
    <w:rsid w:val="4B70365A"/>
    <w:rsid w:val="4B7132C9"/>
    <w:rsid w:val="4B992729"/>
    <w:rsid w:val="4BA938AF"/>
    <w:rsid w:val="4BF14E5C"/>
    <w:rsid w:val="4BFB1C38"/>
    <w:rsid w:val="4C116ED2"/>
    <w:rsid w:val="4C260727"/>
    <w:rsid w:val="4C2E43E8"/>
    <w:rsid w:val="4C496541"/>
    <w:rsid w:val="4C7623E7"/>
    <w:rsid w:val="4CEC0B69"/>
    <w:rsid w:val="4CF306AC"/>
    <w:rsid w:val="4D176485"/>
    <w:rsid w:val="4D2301A6"/>
    <w:rsid w:val="4D397E04"/>
    <w:rsid w:val="4D4E3274"/>
    <w:rsid w:val="4D5C095B"/>
    <w:rsid w:val="4D80406A"/>
    <w:rsid w:val="4D94749F"/>
    <w:rsid w:val="4DA237EC"/>
    <w:rsid w:val="4DD1007C"/>
    <w:rsid w:val="4DD80FF0"/>
    <w:rsid w:val="4DF37665"/>
    <w:rsid w:val="4E047AEB"/>
    <w:rsid w:val="4EB04CEB"/>
    <w:rsid w:val="4EBC4081"/>
    <w:rsid w:val="4EED0A2C"/>
    <w:rsid w:val="4F0A585C"/>
    <w:rsid w:val="4F96706C"/>
    <w:rsid w:val="4FA060F5"/>
    <w:rsid w:val="4FBD53F1"/>
    <w:rsid w:val="4FC915F8"/>
    <w:rsid w:val="4FCE6F61"/>
    <w:rsid w:val="4FED75E6"/>
    <w:rsid w:val="50190632"/>
    <w:rsid w:val="502E4734"/>
    <w:rsid w:val="503D37A1"/>
    <w:rsid w:val="504C2B01"/>
    <w:rsid w:val="504E4277"/>
    <w:rsid w:val="506A683A"/>
    <w:rsid w:val="506F3038"/>
    <w:rsid w:val="507D6D26"/>
    <w:rsid w:val="5086411C"/>
    <w:rsid w:val="50B81FFF"/>
    <w:rsid w:val="50F07683"/>
    <w:rsid w:val="513104E1"/>
    <w:rsid w:val="51325AB2"/>
    <w:rsid w:val="516C70A1"/>
    <w:rsid w:val="51865721"/>
    <w:rsid w:val="51922CD4"/>
    <w:rsid w:val="519C25A2"/>
    <w:rsid w:val="51C1383E"/>
    <w:rsid w:val="52002EB5"/>
    <w:rsid w:val="5244547C"/>
    <w:rsid w:val="525C4143"/>
    <w:rsid w:val="528872A4"/>
    <w:rsid w:val="529E60AD"/>
    <w:rsid w:val="52AC5D3A"/>
    <w:rsid w:val="52B85D86"/>
    <w:rsid w:val="52C371FE"/>
    <w:rsid w:val="53084074"/>
    <w:rsid w:val="534B0C47"/>
    <w:rsid w:val="5360776D"/>
    <w:rsid w:val="537261AA"/>
    <w:rsid w:val="53E411F3"/>
    <w:rsid w:val="53E7314D"/>
    <w:rsid w:val="541B56C7"/>
    <w:rsid w:val="54307016"/>
    <w:rsid w:val="545D1B93"/>
    <w:rsid w:val="547D59CC"/>
    <w:rsid w:val="548C3FBC"/>
    <w:rsid w:val="54D46A7E"/>
    <w:rsid w:val="54E03B7D"/>
    <w:rsid w:val="551032A1"/>
    <w:rsid w:val="556F2385"/>
    <w:rsid w:val="5573011A"/>
    <w:rsid w:val="558B0EF2"/>
    <w:rsid w:val="55D127E9"/>
    <w:rsid w:val="55EF44CD"/>
    <w:rsid w:val="55FC3213"/>
    <w:rsid w:val="56085966"/>
    <w:rsid w:val="56195DC5"/>
    <w:rsid w:val="56545706"/>
    <w:rsid w:val="5671771B"/>
    <w:rsid w:val="569C3C83"/>
    <w:rsid w:val="56B26734"/>
    <w:rsid w:val="56D21446"/>
    <w:rsid w:val="5701107B"/>
    <w:rsid w:val="571813D5"/>
    <w:rsid w:val="572A056F"/>
    <w:rsid w:val="572F2122"/>
    <w:rsid w:val="574B1C57"/>
    <w:rsid w:val="57513E3C"/>
    <w:rsid w:val="575E71D1"/>
    <w:rsid w:val="576B1320"/>
    <w:rsid w:val="577379DD"/>
    <w:rsid w:val="57780285"/>
    <w:rsid w:val="579148C0"/>
    <w:rsid w:val="57935C4B"/>
    <w:rsid w:val="57C967CB"/>
    <w:rsid w:val="57CB7122"/>
    <w:rsid w:val="57E26804"/>
    <w:rsid w:val="58091D0F"/>
    <w:rsid w:val="580D6E3B"/>
    <w:rsid w:val="582770F9"/>
    <w:rsid w:val="582E3B22"/>
    <w:rsid w:val="583A1258"/>
    <w:rsid w:val="58C67724"/>
    <w:rsid w:val="58F74373"/>
    <w:rsid w:val="592B2BC8"/>
    <w:rsid w:val="59413162"/>
    <w:rsid w:val="5945570A"/>
    <w:rsid w:val="594A4ABF"/>
    <w:rsid w:val="595F5C5C"/>
    <w:rsid w:val="59633CBA"/>
    <w:rsid w:val="59861649"/>
    <w:rsid w:val="598A1022"/>
    <w:rsid w:val="59BD3347"/>
    <w:rsid w:val="59EF1FE8"/>
    <w:rsid w:val="5A0C2052"/>
    <w:rsid w:val="5A5538A1"/>
    <w:rsid w:val="5A5B00AE"/>
    <w:rsid w:val="5AA20FEB"/>
    <w:rsid w:val="5B0C55BF"/>
    <w:rsid w:val="5B146C2A"/>
    <w:rsid w:val="5B5267B9"/>
    <w:rsid w:val="5B5F034D"/>
    <w:rsid w:val="5B64318C"/>
    <w:rsid w:val="5B974CD1"/>
    <w:rsid w:val="5BC05588"/>
    <w:rsid w:val="5BE21F66"/>
    <w:rsid w:val="5BFB37A6"/>
    <w:rsid w:val="5C0A657E"/>
    <w:rsid w:val="5C240C7B"/>
    <w:rsid w:val="5C483AC9"/>
    <w:rsid w:val="5C630389"/>
    <w:rsid w:val="5C941D6F"/>
    <w:rsid w:val="5CA223E7"/>
    <w:rsid w:val="5CA52AF5"/>
    <w:rsid w:val="5CAA01D9"/>
    <w:rsid w:val="5CCE1A7B"/>
    <w:rsid w:val="5CF93445"/>
    <w:rsid w:val="5CFE68E7"/>
    <w:rsid w:val="5D42415C"/>
    <w:rsid w:val="5D4F6922"/>
    <w:rsid w:val="5D73146B"/>
    <w:rsid w:val="5D874097"/>
    <w:rsid w:val="5D9F585D"/>
    <w:rsid w:val="5DA16A52"/>
    <w:rsid w:val="5DDE2965"/>
    <w:rsid w:val="5DEF5CCF"/>
    <w:rsid w:val="5DF64611"/>
    <w:rsid w:val="5DFD01BB"/>
    <w:rsid w:val="5DFF13CA"/>
    <w:rsid w:val="5E0B635A"/>
    <w:rsid w:val="5E37053B"/>
    <w:rsid w:val="5E377A08"/>
    <w:rsid w:val="5E3E1846"/>
    <w:rsid w:val="5EA11D24"/>
    <w:rsid w:val="5EB24305"/>
    <w:rsid w:val="5EC3724F"/>
    <w:rsid w:val="5ED92AEC"/>
    <w:rsid w:val="5EF37788"/>
    <w:rsid w:val="5EFC4F21"/>
    <w:rsid w:val="5F1461C1"/>
    <w:rsid w:val="5F2B1F2D"/>
    <w:rsid w:val="5F372A1F"/>
    <w:rsid w:val="5F423654"/>
    <w:rsid w:val="5F460C39"/>
    <w:rsid w:val="5F4C0828"/>
    <w:rsid w:val="5F8F1D12"/>
    <w:rsid w:val="5FA22B96"/>
    <w:rsid w:val="5FBB64E6"/>
    <w:rsid w:val="5FEB56E6"/>
    <w:rsid w:val="60210B27"/>
    <w:rsid w:val="602651FC"/>
    <w:rsid w:val="603C43A1"/>
    <w:rsid w:val="6040639C"/>
    <w:rsid w:val="605B7E8A"/>
    <w:rsid w:val="605C6D1E"/>
    <w:rsid w:val="605E59DD"/>
    <w:rsid w:val="607A0067"/>
    <w:rsid w:val="60846BA6"/>
    <w:rsid w:val="608E7FB0"/>
    <w:rsid w:val="6098223A"/>
    <w:rsid w:val="609E675C"/>
    <w:rsid w:val="60BB7FE3"/>
    <w:rsid w:val="610B3038"/>
    <w:rsid w:val="61231BA1"/>
    <w:rsid w:val="613B6F0D"/>
    <w:rsid w:val="6157463B"/>
    <w:rsid w:val="615B2673"/>
    <w:rsid w:val="617E5E89"/>
    <w:rsid w:val="619D78CE"/>
    <w:rsid w:val="61D95E93"/>
    <w:rsid w:val="62012E19"/>
    <w:rsid w:val="620C4DF8"/>
    <w:rsid w:val="624216EE"/>
    <w:rsid w:val="62632FF6"/>
    <w:rsid w:val="62743C04"/>
    <w:rsid w:val="62B11F77"/>
    <w:rsid w:val="62C24010"/>
    <w:rsid w:val="62D2414E"/>
    <w:rsid w:val="62FE72D8"/>
    <w:rsid w:val="630B738B"/>
    <w:rsid w:val="631B4E43"/>
    <w:rsid w:val="634D2D5C"/>
    <w:rsid w:val="634E355C"/>
    <w:rsid w:val="637654F1"/>
    <w:rsid w:val="63856413"/>
    <w:rsid w:val="63B05CBA"/>
    <w:rsid w:val="63BC1121"/>
    <w:rsid w:val="63D201A3"/>
    <w:rsid w:val="64003D27"/>
    <w:rsid w:val="64157299"/>
    <w:rsid w:val="646E04C5"/>
    <w:rsid w:val="64AD388C"/>
    <w:rsid w:val="64B60830"/>
    <w:rsid w:val="65107E4C"/>
    <w:rsid w:val="651E49ED"/>
    <w:rsid w:val="657339D9"/>
    <w:rsid w:val="657B4235"/>
    <w:rsid w:val="657E6542"/>
    <w:rsid w:val="664663E8"/>
    <w:rsid w:val="664858C9"/>
    <w:rsid w:val="66513AC5"/>
    <w:rsid w:val="66564BC8"/>
    <w:rsid w:val="669245D6"/>
    <w:rsid w:val="669D10B9"/>
    <w:rsid w:val="66B64084"/>
    <w:rsid w:val="66BC375D"/>
    <w:rsid w:val="66C14893"/>
    <w:rsid w:val="66C66E69"/>
    <w:rsid w:val="67395221"/>
    <w:rsid w:val="67577EB7"/>
    <w:rsid w:val="67760CA3"/>
    <w:rsid w:val="67834728"/>
    <w:rsid w:val="67B371FE"/>
    <w:rsid w:val="67E623F7"/>
    <w:rsid w:val="680E11BB"/>
    <w:rsid w:val="681253D0"/>
    <w:rsid w:val="685A6D95"/>
    <w:rsid w:val="687E5E43"/>
    <w:rsid w:val="68F2680E"/>
    <w:rsid w:val="69271690"/>
    <w:rsid w:val="692C40FC"/>
    <w:rsid w:val="696D54FE"/>
    <w:rsid w:val="69934144"/>
    <w:rsid w:val="69A87FBA"/>
    <w:rsid w:val="69BD10D9"/>
    <w:rsid w:val="69C55233"/>
    <w:rsid w:val="69EB0D20"/>
    <w:rsid w:val="69FB5F53"/>
    <w:rsid w:val="6A0441D2"/>
    <w:rsid w:val="6A1C22CC"/>
    <w:rsid w:val="6A2C1D99"/>
    <w:rsid w:val="6A436251"/>
    <w:rsid w:val="6A657521"/>
    <w:rsid w:val="6AD35CE0"/>
    <w:rsid w:val="6AE866A8"/>
    <w:rsid w:val="6AF619D0"/>
    <w:rsid w:val="6B051D29"/>
    <w:rsid w:val="6B1002F1"/>
    <w:rsid w:val="6B106310"/>
    <w:rsid w:val="6B552D0E"/>
    <w:rsid w:val="6B703D33"/>
    <w:rsid w:val="6B711B7A"/>
    <w:rsid w:val="6B82166E"/>
    <w:rsid w:val="6B956DD7"/>
    <w:rsid w:val="6BE8725E"/>
    <w:rsid w:val="6BF67151"/>
    <w:rsid w:val="6BF718E1"/>
    <w:rsid w:val="6C152647"/>
    <w:rsid w:val="6C2A601F"/>
    <w:rsid w:val="6C2F6077"/>
    <w:rsid w:val="6C3D278A"/>
    <w:rsid w:val="6C446309"/>
    <w:rsid w:val="6C6608D6"/>
    <w:rsid w:val="6CF86215"/>
    <w:rsid w:val="6D0B0DAF"/>
    <w:rsid w:val="6D484E25"/>
    <w:rsid w:val="6D614CAA"/>
    <w:rsid w:val="6D722C89"/>
    <w:rsid w:val="6D8D7A35"/>
    <w:rsid w:val="6DC85709"/>
    <w:rsid w:val="6DDB69F4"/>
    <w:rsid w:val="6DE31AAD"/>
    <w:rsid w:val="6E1E4715"/>
    <w:rsid w:val="6E45569C"/>
    <w:rsid w:val="6E4F523E"/>
    <w:rsid w:val="6E5729A2"/>
    <w:rsid w:val="6E583A1F"/>
    <w:rsid w:val="6E882583"/>
    <w:rsid w:val="6EAB742B"/>
    <w:rsid w:val="6EB0558D"/>
    <w:rsid w:val="6EB70C11"/>
    <w:rsid w:val="6EBD04AA"/>
    <w:rsid w:val="6EC6113E"/>
    <w:rsid w:val="6EEA444D"/>
    <w:rsid w:val="6EF260EC"/>
    <w:rsid w:val="6EF76384"/>
    <w:rsid w:val="6F170E2C"/>
    <w:rsid w:val="6F2B6D17"/>
    <w:rsid w:val="6F873884"/>
    <w:rsid w:val="6F984397"/>
    <w:rsid w:val="6FA176AA"/>
    <w:rsid w:val="70003CB6"/>
    <w:rsid w:val="70391A3F"/>
    <w:rsid w:val="70531535"/>
    <w:rsid w:val="70672A43"/>
    <w:rsid w:val="70852126"/>
    <w:rsid w:val="709B7E09"/>
    <w:rsid w:val="70BF0D6E"/>
    <w:rsid w:val="70E01DD1"/>
    <w:rsid w:val="70EB4CFB"/>
    <w:rsid w:val="70FF3398"/>
    <w:rsid w:val="71027CA7"/>
    <w:rsid w:val="71267D29"/>
    <w:rsid w:val="714016C5"/>
    <w:rsid w:val="715474C6"/>
    <w:rsid w:val="71597165"/>
    <w:rsid w:val="71606C7D"/>
    <w:rsid w:val="71842073"/>
    <w:rsid w:val="718544F1"/>
    <w:rsid w:val="71976AED"/>
    <w:rsid w:val="71A40D30"/>
    <w:rsid w:val="71A44859"/>
    <w:rsid w:val="71AF13FA"/>
    <w:rsid w:val="71BD5FCB"/>
    <w:rsid w:val="71CB4588"/>
    <w:rsid w:val="71F066B2"/>
    <w:rsid w:val="71F60334"/>
    <w:rsid w:val="721B38BB"/>
    <w:rsid w:val="721F1D01"/>
    <w:rsid w:val="723E3936"/>
    <w:rsid w:val="727E1A1D"/>
    <w:rsid w:val="72AB4A8C"/>
    <w:rsid w:val="72EE7C34"/>
    <w:rsid w:val="73095DC0"/>
    <w:rsid w:val="7332232D"/>
    <w:rsid w:val="7341102A"/>
    <w:rsid w:val="736D1AD6"/>
    <w:rsid w:val="737C169B"/>
    <w:rsid w:val="73A17E6A"/>
    <w:rsid w:val="73E16D57"/>
    <w:rsid w:val="73E346F2"/>
    <w:rsid w:val="73E8210B"/>
    <w:rsid w:val="73EF1CED"/>
    <w:rsid w:val="74162D7A"/>
    <w:rsid w:val="745C3615"/>
    <w:rsid w:val="746049BA"/>
    <w:rsid w:val="74874E5A"/>
    <w:rsid w:val="74A2568B"/>
    <w:rsid w:val="74C269F9"/>
    <w:rsid w:val="74EB78FF"/>
    <w:rsid w:val="74ED42C5"/>
    <w:rsid w:val="74F708D2"/>
    <w:rsid w:val="75B91FD5"/>
    <w:rsid w:val="75CC0C94"/>
    <w:rsid w:val="75DB1E4F"/>
    <w:rsid w:val="75E07F96"/>
    <w:rsid w:val="75FD3A3E"/>
    <w:rsid w:val="76021882"/>
    <w:rsid w:val="762568A1"/>
    <w:rsid w:val="762B6181"/>
    <w:rsid w:val="76417660"/>
    <w:rsid w:val="766574D1"/>
    <w:rsid w:val="766A35F9"/>
    <w:rsid w:val="766E7A08"/>
    <w:rsid w:val="767C3DB4"/>
    <w:rsid w:val="767F1883"/>
    <w:rsid w:val="76DE1045"/>
    <w:rsid w:val="76E87670"/>
    <w:rsid w:val="77056602"/>
    <w:rsid w:val="77197D25"/>
    <w:rsid w:val="77295712"/>
    <w:rsid w:val="774521C8"/>
    <w:rsid w:val="77AF2483"/>
    <w:rsid w:val="77D64484"/>
    <w:rsid w:val="77E92124"/>
    <w:rsid w:val="77E922B4"/>
    <w:rsid w:val="77F04632"/>
    <w:rsid w:val="781A5ED8"/>
    <w:rsid w:val="782B673D"/>
    <w:rsid w:val="786258A4"/>
    <w:rsid w:val="78A95F55"/>
    <w:rsid w:val="78E63B2A"/>
    <w:rsid w:val="78EE273B"/>
    <w:rsid w:val="79161BAF"/>
    <w:rsid w:val="7928350F"/>
    <w:rsid w:val="79326AFC"/>
    <w:rsid w:val="7969405B"/>
    <w:rsid w:val="798B1783"/>
    <w:rsid w:val="79B2108A"/>
    <w:rsid w:val="79B7080B"/>
    <w:rsid w:val="79ED10C8"/>
    <w:rsid w:val="79FF5D83"/>
    <w:rsid w:val="7A0F2527"/>
    <w:rsid w:val="7A3A6269"/>
    <w:rsid w:val="7A417E6A"/>
    <w:rsid w:val="7A98347A"/>
    <w:rsid w:val="7A9E7D9F"/>
    <w:rsid w:val="7AA222D1"/>
    <w:rsid w:val="7ABC1B25"/>
    <w:rsid w:val="7ABD4232"/>
    <w:rsid w:val="7AD22AF8"/>
    <w:rsid w:val="7ADB7905"/>
    <w:rsid w:val="7B094490"/>
    <w:rsid w:val="7B2C0F71"/>
    <w:rsid w:val="7B32191E"/>
    <w:rsid w:val="7B4A5096"/>
    <w:rsid w:val="7B647A4A"/>
    <w:rsid w:val="7B6D54EB"/>
    <w:rsid w:val="7B8B77FD"/>
    <w:rsid w:val="7BC71689"/>
    <w:rsid w:val="7BE20360"/>
    <w:rsid w:val="7C1B39F0"/>
    <w:rsid w:val="7C4B4526"/>
    <w:rsid w:val="7C566461"/>
    <w:rsid w:val="7C5A2582"/>
    <w:rsid w:val="7C7718D6"/>
    <w:rsid w:val="7C78688F"/>
    <w:rsid w:val="7D025C8D"/>
    <w:rsid w:val="7D21376C"/>
    <w:rsid w:val="7D2D5273"/>
    <w:rsid w:val="7D3943CC"/>
    <w:rsid w:val="7D8B198E"/>
    <w:rsid w:val="7D9147F2"/>
    <w:rsid w:val="7DFC7E2B"/>
    <w:rsid w:val="7E122E73"/>
    <w:rsid w:val="7E2C1F50"/>
    <w:rsid w:val="7E3D27AA"/>
    <w:rsid w:val="7E833F39"/>
    <w:rsid w:val="7E955D77"/>
    <w:rsid w:val="7ED72C8B"/>
    <w:rsid w:val="7ED92FB2"/>
    <w:rsid w:val="7EEC2CAC"/>
    <w:rsid w:val="7F183048"/>
    <w:rsid w:val="7F206182"/>
    <w:rsid w:val="7F5C6431"/>
    <w:rsid w:val="7F67178E"/>
    <w:rsid w:val="7F8B1A78"/>
    <w:rsid w:val="7FA418D8"/>
    <w:rsid w:val="7FA84C17"/>
    <w:rsid w:val="7FA92784"/>
    <w:rsid w:val="7FB966BE"/>
    <w:rsid w:val="7FDD570F"/>
    <w:rsid w:val="7FE75FA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51"/>
    <w:qFormat/>
    <w:uiPriority w:val="0"/>
    <w:pPr>
      <w:keepNext/>
      <w:keepLines/>
      <w:spacing w:before="340" w:after="330" w:line="576" w:lineRule="auto"/>
      <w:outlineLvl w:val="0"/>
    </w:pPr>
    <w:rPr>
      <w:b/>
      <w:kern w:val="44"/>
      <w:sz w:val="44"/>
      <w:szCs w:val="20"/>
    </w:rPr>
  </w:style>
  <w:style w:type="paragraph" w:styleId="7">
    <w:name w:val="heading 2"/>
    <w:basedOn w:val="1"/>
    <w:next w:val="1"/>
    <w:link w:val="50"/>
    <w:qFormat/>
    <w:uiPriority w:val="0"/>
    <w:pPr>
      <w:keepNext/>
      <w:keepLines/>
      <w:spacing w:before="260" w:after="260" w:line="413" w:lineRule="auto"/>
      <w:outlineLvl w:val="1"/>
    </w:pPr>
    <w:rPr>
      <w:rFonts w:ascii="Arial" w:hAnsi="Arial" w:eastAsia="黑体"/>
      <w:b/>
      <w:sz w:val="32"/>
    </w:rPr>
  </w:style>
  <w:style w:type="paragraph" w:styleId="8">
    <w:name w:val="heading 3"/>
    <w:basedOn w:val="1"/>
    <w:next w:val="1"/>
    <w:link w:val="55"/>
    <w:qFormat/>
    <w:uiPriority w:val="99"/>
    <w:pPr>
      <w:keepNext/>
      <w:keepLines/>
      <w:spacing w:before="260" w:after="260" w:line="416" w:lineRule="auto"/>
      <w:outlineLvl w:val="2"/>
    </w:pPr>
    <w:rPr>
      <w:rFonts w:eastAsia="仿宋"/>
      <w:b/>
      <w:bCs/>
      <w:sz w:val="32"/>
      <w:szCs w:val="32"/>
    </w:rPr>
  </w:style>
  <w:style w:type="paragraph" w:styleId="9">
    <w:name w:val="heading 4"/>
    <w:basedOn w:val="1"/>
    <w:next w:val="1"/>
    <w:link w:val="56"/>
    <w:qFormat/>
    <w:uiPriority w:val="99"/>
    <w:pPr>
      <w:keepNext/>
      <w:keepLines/>
      <w:outlineLvl w:val="3"/>
    </w:pPr>
    <w:rPr>
      <w:rFonts w:ascii="Arial" w:hAnsi="Arial" w:eastAsia="黑体"/>
      <w:bCs/>
      <w:kern w:val="0"/>
      <w:sz w:val="24"/>
      <w:szCs w:val="28"/>
    </w:rPr>
  </w:style>
  <w:style w:type="paragraph" w:styleId="10">
    <w:name w:val="heading 5"/>
    <w:basedOn w:val="1"/>
    <w:next w:val="1"/>
    <w:link w:val="57"/>
    <w:qFormat/>
    <w:uiPriority w:val="0"/>
    <w:pPr>
      <w:keepNext/>
      <w:keepLines/>
      <w:spacing w:before="280" w:after="290" w:line="376" w:lineRule="auto"/>
      <w:outlineLvl w:val="4"/>
    </w:pPr>
    <w:rPr>
      <w:rFonts w:eastAsia="仿宋"/>
      <w:b/>
      <w:bCs/>
      <w:sz w:val="28"/>
      <w:szCs w:val="28"/>
    </w:rPr>
  </w:style>
  <w:style w:type="paragraph" w:styleId="11">
    <w:name w:val="heading 6"/>
    <w:basedOn w:val="1"/>
    <w:next w:val="1"/>
    <w:link w:val="58"/>
    <w:qFormat/>
    <w:uiPriority w:val="0"/>
    <w:pPr>
      <w:keepNext/>
      <w:keepLines/>
      <w:spacing w:before="240" w:after="64" w:line="317" w:lineRule="auto"/>
      <w:outlineLvl w:val="5"/>
    </w:pPr>
    <w:rPr>
      <w:rFonts w:ascii="Cambria" w:hAnsi="Cambria"/>
      <w:b/>
      <w:bCs/>
      <w:sz w:val="24"/>
    </w:rPr>
  </w:style>
  <w:style w:type="paragraph" w:styleId="12">
    <w:name w:val="heading 7"/>
    <w:basedOn w:val="1"/>
    <w:next w:val="1"/>
    <w:link w:val="59"/>
    <w:qFormat/>
    <w:uiPriority w:val="0"/>
    <w:pPr>
      <w:keepNext/>
      <w:keepLines/>
      <w:spacing w:before="240" w:after="64" w:line="317" w:lineRule="auto"/>
      <w:outlineLvl w:val="6"/>
    </w:pPr>
    <w:rPr>
      <w:b/>
      <w:bCs/>
      <w:sz w:val="24"/>
    </w:rPr>
  </w:style>
  <w:style w:type="paragraph" w:styleId="13">
    <w:name w:val="heading 8"/>
    <w:basedOn w:val="1"/>
    <w:next w:val="1"/>
    <w:link w:val="60"/>
    <w:qFormat/>
    <w:uiPriority w:val="0"/>
    <w:pPr>
      <w:keepNext/>
      <w:keepLines/>
      <w:spacing w:before="240" w:after="64" w:line="317" w:lineRule="auto"/>
      <w:outlineLvl w:val="7"/>
    </w:pPr>
    <w:rPr>
      <w:rFonts w:ascii="Cambria" w:hAnsi="Cambria"/>
      <w:sz w:val="24"/>
    </w:rPr>
  </w:style>
  <w:style w:type="paragraph" w:styleId="14">
    <w:name w:val="heading 9"/>
    <w:basedOn w:val="1"/>
    <w:next w:val="1"/>
    <w:link w:val="61"/>
    <w:qFormat/>
    <w:uiPriority w:val="0"/>
    <w:pPr>
      <w:keepNext/>
      <w:keepLines/>
      <w:spacing w:before="240" w:after="64" w:line="317" w:lineRule="auto"/>
      <w:outlineLvl w:val="8"/>
    </w:pPr>
    <w:rPr>
      <w:rFonts w:ascii="Cambria" w:hAnsi="Cambria"/>
      <w:szCs w:val="21"/>
    </w:rPr>
  </w:style>
  <w:style w:type="character" w:default="1" w:styleId="42">
    <w:name w:val="Default Paragraph Font"/>
    <w:link w:val="43"/>
    <w:unhideWhenUsed/>
    <w:qFormat/>
    <w:uiPriority w:val="1"/>
  </w:style>
  <w:style w:type="table" w:default="1" w:styleId="40">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w:basedOn w:val="3"/>
    <w:next w:val="1"/>
    <w:qFormat/>
    <w:uiPriority w:val="0"/>
    <w:pPr>
      <w:ind w:firstLine="420"/>
    </w:pPr>
  </w:style>
  <w:style w:type="paragraph" w:styleId="3">
    <w:name w:val="Body Text"/>
    <w:basedOn w:val="1"/>
    <w:next w:val="4"/>
    <w:link w:val="64"/>
    <w:qFormat/>
    <w:uiPriority w:val="0"/>
    <w:pPr>
      <w:adjustRightInd w:val="0"/>
      <w:spacing w:after="60" w:line="360" w:lineRule="atLeast"/>
      <w:ind w:left="72" w:leftChars="30" w:right="30" w:rightChars="30"/>
      <w:jc w:val="center"/>
      <w:textAlignment w:val="baseline"/>
    </w:pPr>
    <w:rPr>
      <w:kern w:val="0"/>
      <w:sz w:val="20"/>
      <w:szCs w:val="20"/>
    </w:rPr>
  </w:style>
  <w:style w:type="paragraph" w:customStyle="1" w:styleId="4">
    <w:name w:val="style4"/>
    <w:basedOn w:val="1"/>
    <w:next w:val="5"/>
    <w:qFormat/>
    <w:uiPriority w:val="0"/>
    <w:pPr>
      <w:widowControl/>
      <w:autoSpaceDE/>
      <w:autoSpaceDN/>
      <w:spacing w:before="280" w:after="280" w:line="240" w:lineRule="auto"/>
      <w:ind w:left="0" w:firstLine="0"/>
      <w:jc w:val="both"/>
    </w:pPr>
    <w:rPr>
      <w:rFonts w:ascii="宋体" w:eastAsia="宋体"/>
      <w:sz w:val="18"/>
    </w:rPr>
  </w:style>
  <w:style w:type="paragraph" w:customStyle="1" w:styleId="5">
    <w:name w:val="2"/>
    <w:next w:val="1"/>
    <w:qFormat/>
    <w:uiPriority w:val="0"/>
    <w:pPr>
      <w:widowControl w:val="0"/>
      <w:jc w:val="both"/>
    </w:pPr>
    <w:rPr>
      <w:rFonts w:ascii="Calibri" w:hAnsi="Calibri" w:eastAsia="宋体" w:cs="Times New Roman"/>
      <w:sz w:val="21"/>
      <w:szCs w:val="22"/>
      <w:lang w:val="en-US" w:eastAsia="zh-CN" w:bidi="ar-SA"/>
    </w:rPr>
  </w:style>
  <w:style w:type="paragraph" w:styleId="15">
    <w:name w:val="toc 7"/>
    <w:basedOn w:val="1"/>
    <w:next w:val="1"/>
    <w:qFormat/>
    <w:uiPriority w:val="0"/>
    <w:pPr>
      <w:ind w:left="2520" w:leftChars="1200"/>
    </w:pPr>
    <w:rPr>
      <w:szCs w:val="22"/>
    </w:rPr>
  </w:style>
  <w:style w:type="paragraph" w:styleId="16">
    <w:name w:val="Normal Indent"/>
    <w:basedOn w:val="1"/>
    <w:qFormat/>
    <w:uiPriority w:val="0"/>
    <w:pPr>
      <w:adjustRightInd w:val="0"/>
      <w:spacing w:line="360" w:lineRule="atLeast"/>
      <w:ind w:firstLine="482"/>
      <w:textAlignment w:val="baseline"/>
    </w:pPr>
    <w:rPr>
      <w:rFonts w:ascii="Times New Roman" w:hAnsi="Times New Roman"/>
      <w:kern w:val="0"/>
      <w:sz w:val="24"/>
      <w:szCs w:val="20"/>
    </w:rPr>
  </w:style>
  <w:style w:type="paragraph" w:styleId="17">
    <w:name w:val="caption"/>
    <w:basedOn w:val="1"/>
    <w:next w:val="1"/>
    <w:qFormat/>
    <w:uiPriority w:val="0"/>
    <w:rPr>
      <w:rFonts w:ascii="Cambria" w:hAnsi="Cambria" w:eastAsia="黑体"/>
      <w:sz w:val="20"/>
      <w:szCs w:val="20"/>
    </w:rPr>
  </w:style>
  <w:style w:type="paragraph" w:styleId="18">
    <w:name w:val="Document Map"/>
    <w:basedOn w:val="1"/>
    <w:link w:val="62"/>
    <w:qFormat/>
    <w:uiPriority w:val="0"/>
    <w:pPr>
      <w:shd w:val="clear" w:color="auto" w:fill="000080"/>
      <w:spacing w:line="360" w:lineRule="auto"/>
    </w:pPr>
    <w:rPr>
      <w:rFonts w:ascii="Times New Roman" w:hAnsi="Times New Roman" w:eastAsia="宋体"/>
      <w:kern w:val="0"/>
      <w:sz w:val="20"/>
      <w:shd w:val="clear" w:color="auto" w:fill="000080"/>
    </w:rPr>
  </w:style>
  <w:style w:type="paragraph" w:styleId="19">
    <w:name w:val="annotation text"/>
    <w:basedOn w:val="1"/>
    <w:link w:val="63"/>
    <w:unhideWhenUsed/>
    <w:qFormat/>
    <w:uiPriority w:val="99"/>
    <w:pPr>
      <w:jc w:val="left"/>
    </w:pPr>
    <w:rPr>
      <w:rFonts w:ascii="Calibri" w:hAnsi="Calibri"/>
    </w:rPr>
  </w:style>
  <w:style w:type="paragraph" w:styleId="20">
    <w:name w:val="Body Text Indent"/>
    <w:basedOn w:val="1"/>
    <w:qFormat/>
    <w:uiPriority w:val="0"/>
    <w:pPr>
      <w:spacing w:after="120"/>
      <w:ind w:left="420" w:leftChars="200"/>
    </w:pPr>
  </w:style>
  <w:style w:type="paragraph" w:styleId="21">
    <w:name w:val="index 4"/>
    <w:basedOn w:val="1"/>
    <w:next w:val="1"/>
    <w:qFormat/>
    <w:uiPriority w:val="0"/>
    <w:pPr>
      <w:ind w:left="600" w:leftChars="600"/>
    </w:pPr>
    <w:rPr>
      <w:rFonts w:ascii="Times New Roman" w:hAnsi="Times New Roman"/>
    </w:rPr>
  </w:style>
  <w:style w:type="paragraph" w:styleId="22">
    <w:name w:val="toc 5"/>
    <w:basedOn w:val="1"/>
    <w:next w:val="1"/>
    <w:link w:val="65"/>
    <w:qFormat/>
    <w:uiPriority w:val="0"/>
    <w:pPr>
      <w:tabs>
        <w:tab w:val="right" w:leader="dot" w:pos="8296"/>
      </w:tabs>
      <w:ind w:left="1050" w:leftChars="500"/>
    </w:pPr>
    <w:rPr>
      <w:szCs w:val="22"/>
    </w:rPr>
  </w:style>
  <w:style w:type="paragraph" w:styleId="23">
    <w:name w:val="toc 3"/>
    <w:basedOn w:val="1"/>
    <w:next w:val="1"/>
    <w:unhideWhenUsed/>
    <w:qFormat/>
    <w:uiPriority w:val="0"/>
    <w:pPr>
      <w:widowControl/>
      <w:spacing w:after="100" w:line="276" w:lineRule="auto"/>
      <w:ind w:left="440"/>
      <w:jc w:val="left"/>
    </w:pPr>
    <w:rPr>
      <w:rFonts w:ascii="Calibri" w:hAnsi="Calibri" w:eastAsia="宋体" w:cs="Times New Roman"/>
      <w:kern w:val="0"/>
      <w:sz w:val="22"/>
      <w:szCs w:val="22"/>
    </w:rPr>
  </w:style>
  <w:style w:type="paragraph" w:styleId="24">
    <w:name w:val="Plain Text"/>
    <w:basedOn w:val="1"/>
    <w:link w:val="66"/>
    <w:qFormat/>
    <w:uiPriority w:val="99"/>
    <w:rPr>
      <w:rFonts w:ascii="宋体" w:hAnsi="Courier New"/>
      <w:szCs w:val="21"/>
    </w:rPr>
  </w:style>
  <w:style w:type="paragraph" w:styleId="25">
    <w:name w:val="toc 8"/>
    <w:basedOn w:val="1"/>
    <w:next w:val="1"/>
    <w:qFormat/>
    <w:uiPriority w:val="0"/>
    <w:pPr>
      <w:ind w:left="2940" w:leftChars="1400"/>
    </w:pPr>
    <w:rPr>
      <w:szCs w:val="22"/>
    </w:rPr>
  </w:style>
  <w:style w:type="paragraph" w:styleId="26">
    <w:name w:val="Date"/>
    <w:basedOn w:val="1"/>
    <w:next w:val="1"/>
    <w:link w:val="67"/>
    <w:qFormat/>
    <w:uiPriority w:val="0"/>
    <w:pPr>
      <w:ind w:left="100" w:leftChars="2500"/>
    </w:pPr>
    <w:rPr>
      <w:rFonts w:ascii="Calibri" w:hAnsi="Calibri"/>
    </w:rPr>
  </w:style>
  <w:style w:type="paragraph" w:styleId="27">
    <w:name w:val="Balloon Text"/>
    <w:basedOn w:val="1"/>
    <w:link w:val="68"/>
    <w:qFormat/>
    <w:uiPriority w:val="0"/>
    <w:rPr>
      <w:rFonts w:ascii="Calibri" w:hAnsi="Calibri"/>
      <w:sz w:val="18"/>
      <w:szCs w:val="18"/>
    </w:rPr>
  </w:style>
  <w:style w:type="paragraph" w:styleId="28">
    <w:name w:val="footer"/>
    <w:basedOn w:val="1"/>
    <w:link w:val="69"/>
    <w:qFormat/>
    <w:uiPriority w:val="99"/>
    <w:pPr>
      <w:tabs>
        <w:tab w:val="center" w:pos="4153"/>
        <w:tab w:val="right" w:pos="8306"/>
      </w:tabs>
      <w:snapToGrid w:val="0"/>
      <w:jc w:val="left"/>
    </w:pPr>
    <w:rPr>
      <w:sz w:val="18"/>
    </w:rPr>
  </w:style>
  <w:style w:type="paragraph" w:styleId="29">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0">
    <w:name w:val="toc 1"/>
    <w:basedOn w:val="1"/>
    <w:next w:val="1"/>
    <w:link w:val="71"/>
    <w:qFormat/>
    <w:uiPriority w:val="0"/>
  </w:style>
  <w:style w:type="paragraph" w:styleId="31">
    <w:name w:val="toc 4"/>
    <w:basedOn w:val="1"/>
    <w:next w:val="1"/>
    <w:qFormat/>
    <w:uiPriority w:val="0"/>
    <w:pPr>
      <w:tabs>
        <w:tab w:val="left" w:pos="1890"/>
        <w:tab w:val="right" w:leader="dot" w:pos="8296"/>
      </w:tabs>
      <w:ind w:left="630" w:leftChars="300"/>
    </w:pPr>
    <w:rPr>
      <w:szCs w:val="22"/>
    </w:rPr>
  </w:style>
  <w:style w:type="paragraph" w:styleId="32">
    <w:name w:val="Subtitle"/>
    <w:basedOn w:val="1"/>
    <w:next w:val="1"/>
    <w:link w:val="72"/>
    <w:qFormat/>
    <w:uiPriority w:val="0"/>
    <w:pPr>
      <w:spacing w:before="240" w:after="60" w:line="312" w:lineRule="auto"/>
      <w:jc w:val="center"/>
      <w:outlineLvl w:val="1"/>
    </w:pPr>
    <w:rPr>
      <w:rFonts w:ascii="Cambria" w:hAnsi="Cambria"/>
      <w:b/>
      <w:bCs/>
      <w:kern w:val="28"/>
      <w:sz w:val="32"/>
      <w:szCs w:val="32"/>
    </w:rPr>
  </w:style>
  <w:style w:type="paragraph" w:styleId="33">
    <w:name w:val="toc 6"/>
    <w:basedOn w:val="1"/>
    <w:next w:val="1"/>
    <w:qFormat/>
    <w:uiPriority w:val="0"/>
    <w:pPr>
      <w:ind w:left="2100" w:leftChars="1000"/>
    </w:pPr>
    <w:rPr>
      <w:szCs w:val="22"/>
    </w:rPr>
  </w:style>
  <w:style w:type="paragraph" w:styleId="34">
    <w:name w:val="toc 2"/>
    <w:basedOn w:val="1"/>
    <w:next w:val="1"/>
    <w:qFormat/>
    <w:uiPriority w:val="0"/>
    <w:pPr>
      <w:ind w:left="420" w:leftChars="200"/>
    </w:pPr>
  </w:style>
  <w:style w:type="paragraph" w:styleId="35">
    <w:name w:val="toc 9"/>
    <w:basedOn w:val="1"/>
    <w:next w:val="1"/>
    <w:qFormat/>
    <w:uiPriority w:val="0"/>
    <w:pPr>
      <w:ind w:left="3360" w:leftChars="1600"/>
    </w:pPr>
    <w:rPr>
      <w:szCs w:val="22"/>
    </w:rPr>
  </w:style>
  <w:style w:type="paragraph" w:styleId="3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37">
    <w:name w:val="Title"/>
    <w:basedOn w:val="1"/>
    <w:next w:val="1"/>
    <w:link w:val="73"/>
    <w:qFormat/>
    <w:uiPriority w:val="0"/>
    <w:pPr>
      <w:spacing w:before="240" w:after="60"/>
      <w:jc w:val="center"/>
      <w:outlineLvl w:val="0"/>
    </w:pPr>
    <w:rPr>
      <w:rFonts w:ascii="Cambria" w:hAnsi="Cambria"/>
      <w:b/>
      <w:bCs/>
      <w:sz w:val="32"/>
      <w:szCs w:val="32"/>
    </w:rPr>
  </w:style>
  <w:style w:type="paragraph" w:styleId="38">
    <w:name w:val="annotation subject"/>
    <w:basedOn w:val="19"/>
    <w:next w:val="19"/>
    <w:link w:val="74"/>
    <w:qFormat/>
    <w:uiPriority w:val="0"/>
    <w:rPr>
      <w:b/>
      <w:bCs/>
    </w:rPr>
  </w:style>
  <w:style w:type="paragraph" w:styleId="39">
    <w:name w:val="Body Text First Indent 2"/>
    <w:basedOn w:val="20"/>
    <w:next w:val="1"/>
    <w:qFormat/>
    <w:uiPriority w:val="0"/>
    <w:pPr>
      <w:tabs>
        <w:tab w:val="left" w:pos="720"/>
      </w:tabs>
      <w:spacing w:after="120" w:afterLines="0" w:line="240" w:lineRule="auto"/>
      <w:ind w:left="420" w:leftChars="200" w:firstLine="420" w:firstLineChars="200"/>
    </w:pPr>
    <w:rPr>
      <w:rFonts w:ascii="Times New Roman"/>
      <w:sz w:val="21"/>
    </w:rPr>
  </w:style>
  <w:style w:type="table" w:styleId="41">
    <w:name w:val="Table Grid"/>
    <w:basedOn w:val="4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
    <w:name w:val="_Style 9"/>
    <w:basedOn w:val="1"/>
    <w:link w:val="42"/>
    <w:qFormat/>
    <w:uiPriority w:val="0"/>
  </w:style>
  <w:style w:type="character" w:styleId="44">
    <w:name w:val="Strong"/>
    <w:qFormat/>
    <w:uiPriority w:val="0"/>
    <w:rPr>
      <w:b/>
    </w:rPr>
  </w:style>
  <w:style w:type="character" w:styleId="45">
    <w:name w:val="page number"/>
    <w:basedOn w:val="42"/>
    <w:qFormat/>
    <w:uiPriority w:val="0"/>
    <w:rPr>
      <w:rFonts w:cs="Times New Roman"/>
    </w:rPr>
  </w:style>
  <w:style w:type="character" w:styleId="46">
    <w:name w:val="Emphasis"/>
    <w:qFormat/>
    <w:uiPriority w:val="0"/>
    <w:rPr>
      <w:i/>
      <w:iCs/>
    </w:rPr>
  </w:style>
  <w:style w:type="character" w:styleId="47">
    <w:name w:val="Hyperlink"/>
    <w:qFormat/>
    <w:uiPriority w:val="0"/>
    <w:rPr>
      <w:color w:val="0000FF"/>
      <w:u w:val="single"/>
    </w:rPr>
  </w:style>
  <w:style w:type="character" w:styleId="48">
    <w:name w:val="annotation reference"/>
    <w:unhideWhenUsed/>
    <w:qFormat/>
    <w:uiPriority w:val="0"/>
    <w:rPr>
      <w:sz w:val="21"/>
      <w:szCs w:val="21"/>
    </w:rPr>
  </w:style>
  <w:style w:type="character" w:customStyle="1" w:styleId="49">
    <w:name w:val="标题 1 Char"/>
    <w:qFormat/>
    <w:uiPriority w:val="0"/>
    <w:rPr>
      <w:b/>
      <w:kern w:val="44"/>
      <w:sz w:val="44"/>
    </w:rPr>
  </w:style>
  <w:style w:type="character" w:customStyle="1" w:styleId="50">
    <w:name w:val="标题 2 Char"/>
    <w:link w:val="7"/>
    <w:qFormat/>
    <w:uiPriority w:val="0"/>
    <w:rPr>
      <w:rFonts w:ascii="Arial" w:hAnsi="Arial" w:eastAsia="黑体"/>
      <w:b/>
      <w:kern w:val="2"/>
      <w:sz w:val="32"/>
      <w:szCs w:val="24"/>
    </w:rPr>
  </w:style>
  <w:style w:type="character" w:customStyle="1" w:styleId="51">
    <w:name w:val="标题 1 Char1"/>
    <w:link w:val="6"/>
    <w:qFormat/>
    <w:uiPriority w:val="0"/>
    <w:rPr>
      <w:b/>
      <w:kern w:val="44"/>
      <w:sz w:val="44"/>
    </w:rPr>
  </w:style>
  <w:style w:type="character" w:customStyle="1" w:styleId="52">
    <w:name w:val="标题 3 Char"/>
    <w:qFormat/>
    <w:uiPriority w:val="0"/>
    <w:rPr>
      <w:b/>
      <w:bCs/>
      <w:kern w:val="2"/>
      <w:sz w:val="32"/>
      <w:szCs w:val="32"/>
    </w:rPr>
  </w:style>
  <w:style w:type="character" w:customStyle="1" w:styleId="53">
    <w:name w:val="标题 4 Char"/>
    <w:qFormat/>
    <w:uiPriority w:val="0"/>
    <w:rPr>
      <w:rFonts w:ascii="Cambria" w:hAnsi="Cambria" w:eastAsia="宋体" w:cs="Times New Roman"/>
      <w:b/>
      <w:bCs/>
      <w:kern w:val="2"/>
      <w:sz w:val="28"/>
      <w:szCs w:val="28"/>
    </w:rPr>
  </w:style>
  <w:style w:type="paragraph" w:styleId="54">
    <w:name w:val="List Paragraph"/>
    <w:basedOn w:val="1"/>
    <w:qFormat/>
    <w:uiPriority w:val="0"/>
    <w:pPr>
      <w:ind w:firstLine="420" w:firstLineChars="200"/>
    </w:pPr>
  </w:style>
  <w:style w:type="character" w:customStyle="1" w:styleId="55">
    <w:name w:val="标题 3 Char1"/>
    <w:link w:val="8"/>
    <w:qFormat/>
    <w:uiPriority w:val="99"/>
    <w:rPr>
      <w:rFonts w:ascii="Times New Roman" w:hAnsi="Times New Roman" w:eastAsia="仿宋"/>
      <w:b/>
      <w:bCs/>
      <w:kern w:val="2"/>
      <w:sz w:val="32"/>
      <w:szCs w:val="32"/>
    </w:rPr>
  </w:style>
  <w:style w:type="character" w:customStyle="1" w:styleId="56">
    <w:name w:val="标题 4 Char1"/>
    <w:link w:val="9"/>
    <w:qFormat/>
    <w:uiPriority w:val="99"/>
    <w:rPr>
      <w:rFonts w:ascii="Arial" w:hAnsi="Arial" w:eastAsia="黑体"/>
      <w:bCs/>
      <w:sz w:val="24"/>
      <w:szCs w:val="28"/>
    </w:rPr>
  </w:style>
  <w:style w:type="character" w:customStyle="1" w:styleId="57">
    <w:name w:val="标题 5 Char1"/>
    <w:link w:val="10"/>
    <w:qFormat/>
    <w:uiPriority w:val="0"/>
    <w:rPr>
      <w:rFonts w:ascii="Times New Roman" w:hAnsi="Times New Roman" w:eastAsia="仿宋"/>
      <w:b/>
      <w:bCs/>
      <w:kern w:val="2"/>
      <w:sz w:val="28"/>
      <w:szCs w:val="28"/>
    </w:rPr>
  </w:style>
  <w:style w:type="character" w:customStyle="1" w:styleId="58">
    <w:name w:val="标题 6 Char"/>
    <w:link w:val="11"/>
    <w:qFormat/>
    <w:uiPriority w:val="0"/>
    <w:rPr>
      <w:rFonts w:ascii="Cambria" w:hAnsi="Cambria"/>
      <w:b/>
      <w:bCs/>
      <w:kern w:val="2"/>
      <w:sz w:val="24"/>
      <w:szCs w:val="24"/>
    </w:rPr>
  </w:style>
  <w:style w:type="character" w:customStyle="1" w:styleId="59">
    <w:name w:val="标题 7 Char"/>
    <w:link w:val="12"/>
    <w:qFormat/>
    <w:uiPriority w:val="0"/>
    <w:rPr>
      <w:b/>
      <w:bCs/>
      <w:kern w:val="2"/>
      <w:sz w:val="24"/>
      <w:szCs w:val="24"/>
    </w:rPr>
  </w:style>
  <w:style w:type="character" w:customStyle="1" w:styleId="60">
    <w:name w:val="标题 8 Char"/>
    <w:link w:val="13"/>
    <w:qFormat/>
    <w:uiPriority w:val="0"/>
    <w:rPr>
      <w:rFonts w:ascii="Cambria" w:hAnsi="Cambria"/>
      <w:kern w:val="2"/>
      <w:sz w:val="24"/>
      <w:szCs w:val="24"/>
    </w:rPr>
  </w:style>
  <w:style w:type="character" w:customStyle="1" w:styleId="61">
    <w:name w:val="标题 9 Char"/>
    <w:link w:val="14"/>
    <w:qFormat/>
    <w:uiPriority w:val="0"/>
    <w:rPr>
      <w:rFonts w:ascii="Cambria" w:hAnsi="Cambria"/>
      <w:kern w:val="2"/>
      <w:sz w:val="21"/>
      <w:szCs w:val="21"/>
    </w:rPr>
  </w:style>
  <w:style w:type="character" w:customStyle="1" w:styleId="62">
    <w:name w:val="文档结构图 Char"/>
    <w:link w:val="18"/>
    <w:qFormat/>
    <w:uiPriority w:val="0"/>
    <w:rPr>
      <w:rFonts w:ascii="Times New Roman" w:hAnsi="Times New Roman" w:eastAsia="宋体"/>
      <w:szCs w:val="24"/>
      <w:shd w:val="clear" w:color="auto" w:fill="000080"/>
    </w:rPr>
  </w:style>
  <w:style w:type="character" w:customStyle="1" w:styleId="63">
    <w:name w:val="批注文字 Char1"/>
    <w:link w:val="19"/>
    <w:qFormat/>
    <w:uiPriority w:val="99"/>
    <w:rPr>
      <w:rFonts w:ascii="Calibri" w:hAnsi="Calibri" w:eastAsia="宋体" w:cs="Times New Roman"/>
      <w:kern w:val="2"/>
      <w:sz w:val="21"/>
      <w:szCs w:val="24"/>
    </w:rPr>
  </w:style>
  <w:style w:type="character" w:customStyle="1" w:styleId="64">
    <w:name w:val="正文文本 Char"/>
    <w:link w:val="3"/>
    <w:qFormat/>
    <w:uiPriority w:val="0"/>
    <w:rPr>
      <w:rFonts w:ascii="Times New Roman" w:hAnsi="Times New Roman"/>
    </w:rPr>
  </w:style>
  <w:style w:type="character" w:customStyle="1" w:styleId="65">
    <w:name w:val="目录 5 Char"/>
    <w:link w:val="22"/>
    <w:qFormat/>
    <w:uiPriority w:val="0"/>
    <w:rPr>
      <w:szCs w:val="22"/>
    </w:rPr>
  </w:style>
  <w:style w:type="character" w:customStyle="1" w:styleId="66">
    <w:name w:val="纯文本 Char1"/>
    <w:link w:val="24"/>
    <w:qFormat/>
    <w:uiPriority w:val="99"/>
    <w:rPr>
      <w:rFonts w:ascii="宋体" w:hAnsi="Courier New" w:eastAsia="宋体" w:cs="Courier New"/>
      <w:kern w:val="2"/>
      <w:sz w:val="21"/>
      <w:szCs w:val="21"/>
    </w:rPr>
  </w:style>
  <w:style w:type="character" w:customStyle="1" w:styleId="67">
    <w:name w:val="日期 Char2"/>
    <w:link w:val="26"/>
    <w:qFormat/>
    <w:uiPriority w:val="0"/>
    <w:rPr>
      <w:rFonts w:ascii="Calibri" w:hAnsi="Calibri" w:eastAsia="宋体" w:cs="Times New Roman"/>
      <w:kern w:val="2"/>
      <w:sz w:val="21"/>
      <w:szCs w:val="24"/>
    </w:rPr>
  </w:style>
  <w:style w:type="character" w:customStyle="1" w:styleId="68">
    <w:name w:val="批注框文本 Char2"/>
    <w:link w:val="27"/>
    <w:qFormat/>
    <w:uiPriority w:val="0"/>
    <w:rPr>
      <w:rFonts w:ascii="Calibri" w:hAnsi="Calibri" w:eastAsia="宋体" w:cs="Times New Roman"/>
      <w:kern w:val="2"/>
      <w:sz w:val="18"/>
      <w:szCs w:val="18"/>
    </w:rPr>
  </w:style>
  <w:style w:type="character" w:customStyle="1" w:styleId="69">
    <w:name w:val="页脚 Char1"/>
    <w:link w:val="28"/>
    <w:qFormat/>
    <w:uiPriority w:val="99"/>
    <w:rPr>
      <w:kern w:val="2"/>
      <w:sz w:val="18"/>
      <w:szCs w:val="24"/>
    </w:rPr>
  </w:style>
  <w:style w:type="character" w:customStyle="1" w:styleId="70">
    <w:name w:val="页眉 Char"/>
    <w:link w:val="29"/>
    <w:qFormat/>
    <w:uiPriority w:val="0"/>
    <w:rPr>
      <w:kern w:val="2"/>
      <w:sz w:val="18"/>
      <w:szCs w:val="24"/>
    </w:rPr>
  </w:style>
  <w:style w:type="character" w:customStyle="1" w:styleId="71">
    <w:name w:val="目录 1 Char"/>
    <w:link w:val="30"/>
    <w:qFormat/>
    <w:uiPriority w:val="0"/>
  </w:style>
  <w:style w:type="character" w:customStyle="1" w:styleId="72">
    <w:name w:val="副标题 Char"/>
    <w:link w:val="32"/>
    <w:qFormat/>
    <w:uiPriority w:val="0"/>
    <w:rPr>
      <w:rFonts w:ascii="Cambria" w:hAnsi="Cambria"/>
      <w:b/>
      <w:bCs/>
      <w:kern w:val="28"/>
      <w:sz w:val="32"/>
      <w:szCs w:val="32"/>
    </w:rPr>
  </w:style>
  <w:style w:type="character" w:customStyle="1" w:styleId="73">
    <w:name w:val="标题 Char"/>
    <w:link w:val="37"/>
    <w:qFormat/>
    <w:uiPriority w:val="0"/>
    <w:rPr>
      <w:rFonts w:ascii="Cambria" w:hAnsi="Cambria"/>
      <w:b/>
      <w:bCs/>
      <w:kern w:val="2"/>
      <w:sz w:val="32"/>
      <w:szCs w:val="32"/>
    </w:rPr>
  </w:style>
  <w:style w:type="character" w:customStyle="1" w:styleId="74">
    <w:name w:val="批注主题 Char2"/>
    <w:link w:val="38"/>
    <w:qFormat/>
    <w:uiPriority w:val="0"/>
    <w:rPr>
      <w:rFonts w:ascii="Calibri" w:hAnsi="Calibri" w:eastAsia="宋体" w:cs="Times New Roman"/>
      <w:b/>
      <w:bCs/>
      <w:kern w:val="2"/>
      <w:sz w:val="21"/>
      <w:szCs w:val="24"/>
    </w:rPr>
  </w:style>
  <w:style w:type="character" w:customStyle="1" w:styleId="75">
    <w:name w:val="批注主题 Char"/>
    <w:qFormat/>
    <w:uiPriority w:val="0"/>
    <w:rPr>
      <w:rFonts w:ascii="Calibri" w:hAnsi="Calibri" w:eastAsia="宋体" w:cs="Times New Roman"/>
      <w:b/>
      <w:bCs/>
      <w:kern w:val="2"/>
      <w:sz w:val="21"/>
      <w:szCs w:val="24"/>
    </w:rPr>
  </w:style>
  <w:style w:type="paragraph" w:customStyle="1" w:styleId="76">
    <w:name w:val="_Style 1"/>
    <w:basedOn w:val="1"/>
    <w:qFormat/>
    <w:uiPriority w:val="34"/>
    <w:pPr>
      <w:ind w:firstLine="420" w:firstLineChars="200"/>
    </w:pPr>
  </w:style>
  <w:style w:type="character" w:customStyle="1" w:styleId="77">
    <w:name w:val="正文文本 Char1"/>
    <w:qFormat/>
    <w:uiPriority w:val="0"/>
    <w:rPr>
      <w:kern w:val="2"/>
      <w:sz w:val="21"/>
      <w:szCs w:val="22"/>
    </w:rPr>
  </w:style>
  <w:style w:type="character" w:customStyle="1" w:styleId="78">
    <w:name w:val="日期 Char"/>
    <w:qFormat/>
    <w:uiPriority w:val="0"/>
    <w:rPr>
      <w:rFonts w:ascii="Calibri" w:hAnsi="Calibri" w:eastAsia="宋体" w:cs="Times New Roman"/>
      <w:kern w:val="2"/>
      <w:sz w:val="21"/>
      <w:szCs w:val="24"/>
    </w:rPr>
  </w:style>
  <w:style w:type="character" w:customStyle="1" w:styleId="79">
    <w:name w:val="_Style 71"/>
    <w:qFormat/>
    <w:uiPriority w:val="0"/>
    <w:rPr>
      <w:b/>
      <w:bCs/>
      <w:smallCaps/>
      <w:color w:val="C0504D"/>
      <w:spacing w:val="5"/>
      <w:u w:val="single"/>
    </w:rPr>
  </w:style>
  <w:style w:type="character" w:customStyle="1" w:styleId="80">
    <w:name w:val="标题 7 字符"/>
    <w:semiHidden/>
    <w:qFormat/>
    <w:uiPriority w:val="0"/>
    <w:rPr>
      <w:b/>
      <w:bCs/>
      <w:kern w:val="2"/>
      <w:sz w:val="24"/>
      <w:szCs w:val="24"/>
    </w:rPr>
  </w:style>
  <w:style w:type="character" w:customStyle="1" w:styleId="81">
    <w:name w:val="批注框文本 Char"/>
    <w:qFormat/>
    <w:uiPriority w:val="0"/>
    <w:rPr>
      <w:rFonts w:ascii="Calibri" w:hAnsi="Calibri" w:eastAsia="宋体" w:cs="Times New Roman"/>
      <w:kern w:val="2"/>
      <w:sz w:val="18"/>
      <w:szCs w:val="18"/>
    </w:rPr>
  </w:style>
  <w:style w:type="character" w:customStyle="1" w:styleId="82">
    <w:name w:val="页脚 Char"/>
    <w:qFormat/>
    <w:uiPriority w:val="0"/>
    <w:rPr>
      <w:kern w:val="2"/>
      <w:sz w:val="18"/>
      <w:szCs w:val="24"/>
    </w:rPr>
  </w:style>
  <w:style w:type="character" w:customStyle="1" w:styleId="83">
    <w:name w:val="明显引用 Char"/>
    <w:link w:val="84"/>
    <w:qFormat/>
    <w:uiPriority w:val="0"/>
    <w:rPr>
      <w:b/>
      <w:bCs/>
      <w:i/>
      <w:iCs/>
      <w:color w:val="4F81BD"/>
      <w:kern w:val="2"/>
      <w:sz w:val="21"/>
      <w:szCs w:val="22"/>
    </w:rPr>
  </w:style>
  <w:style w:type="paragraph" w:styleId="84">
    <w:name w:val="Intense Quote"/>
    <w:basedOn w:val="1"/>
    <w:next w:val="1"/>
    <w:link w:val="83"/>
    <w:qFormat/>
    <w:uiPriority w:val="0"/>
    <w:pPr>
      <w:pBdr>
        <w:bottom w:val="single" w:color="4F81BD" w:sz="4" w:space="4"/>
      </w:pBdr>
      <w:spacing w:before="200" w:after="280"/>
      <w:ind w:left="936" w:right="936"/>
    </w:pPr>
    <w:rPr>
      <w:b/>
      <w:bCs/>
      <w:i/>
      <w:iCs/>
      <w:color w:val="4F81BD"/>
      <w:szCs w:val="22"/>
    </w:rPr>
  </w:style>
  <w:style w:type="character" w:customStyle="1" w:styleId="85">
    <w:name w:val="标题4 Char Char"/>
    <w:link w:val="86"/>
    <w:qFormat/>
    <w:uiPriority w:val="0"/>
    <w:rPr>
      <w:rFonts w:ascii="Arial" w:hAnsi="Arial"/>
      <w:b/>
      <w:bCs/>
      <w:sz w:val="24"/>
      <w:szCs w:val="32"/>
    </w:rPr>
  </w:style>
  <w:style w:type="paragraph" w:customStyle="1" w:styleId="86">
    <w:name w:val="标题4"/>
    <w:basedOn w:val="7"/>
    <w:next w:val="21"/>
    <w:link w:val="85"/>
    <w:qFormat/>
    <w:uiPriority w:val="0"/>
    <w:rPr>
      <w:rFonts w:eastAsia="宋体"/>
      <w:bCs/>
      <w:kern w:val="0"/>
      <w:sz w:val="24"/>
      <w:szCs w:val="32"/>
    </w:rPr>
  </w:style>
  <w:style w:type="character" w:customStyle="1" w:styleId="87">
    <w:name w:val="_Style 79"/>
    <w:qFormat/>
    <w:uiPriority w:val="0"/>
    <w:rPr>
      <w:b/>
      <w:bCs/>
      <w:smallCaps/>
      <w:spacing w:val="5"/>
    </w:rPr>
  </w:style>
  <w:style w:type="character" w:customStyle="1" w:styleId="88">
    <w:name w:val="_Style 80"/>
    <w:qFormat/>
    <w:uiPriority w:val="0"/>
    <w:rPr>
      <w:i/>
      <w:iCs/>
      <w:color w:val="808080"/>
    </w:rPr>
  </w:style>
  <w:style w:type="character" w:customStyle="1" w:styleId="89">
    <w:name w:val="标题 9 字符"/>
    <w:semiHidden/>
    <w:qFormat/>
    <w:uiPriority w:val="0"/>
    <w:rPr>
      <w:rFonts w:ascii="等线 Light" w:hAnsi="等线 Light" w:eastAsia="等线 Light" w:cs="Times New Roman"/>
      <w:kern w:val="2"/>
      <w:sz w:val="21"/>
      <w:szCs w:val="21"/>
    </w:rPr>
  </w:style>
  <w:style w:type="character" w:customStyle="1" w:styleId="90">
    <w:name w:val="明显引用 字符"/>
    <w:qFormat/>
    <w:uiPriority w:val="99"/>
    <w:rPr>
      <w:i/>
      <w:iCs/>
      <w:color w:val="5B9BD5"/>
      <w:kern w:val="2"/>
      <w:sz w:val="21"/>
      <w:szCs w:val="24"/>
    </w:rPr>
  </w:style>
  <w:style w:type="character" w:customStyle="1" w:styleId="91">
    <w:name w:val="文档结构图 Char1"/>
    <w:qFormat/>
    <w:uiPriority w:val="0"/>
    <w:rPr>
      <w:rFonts w:ascii="宋体"/>
      <w:kern w:val="2"/>
      <w:sz w:val="18"/>
      <w:szCs w:val="18"/>
    </w:rPr>
  </w:style>
  <w:style w:type="character" w:customStyle="1" w:styleId="92">
    <w:name w:val="引用 Char"/>
    <w:link w:val="93"/>
    <w:qFormat/>
    <w:uiPriority w:val="0"/>
    <w:rPr>
      <w:i/>
      <w:iCs/>
      <w:color w:val="000000"/>
      <w:kern w:val="2"/>
      <w:sz w:val="21"/>
      <w:szCs w:val="22"/>
    </w:rPr>
  </w:style>
  <w:style w:type="paragraph" w:styleId="93">
    <w:name w:val="Quote"/>
    <w:basedOn w:val="1"/>
    <w:next w:val="1"/>
    <w:link w:val="92"/>
    <w:qFormat/>
    <w:uiPriority w:val="0"/>
    <w:rPr>
      <w:i/>
      <w:iCs/>
      <w:color w:val="000000"/>
      <w:szCs w:val="22"/>
    </w:rPr>
  </w:style>
  <w:style w:type="character" w:customStyle="1" w:styleId="94">
    <w:name w:val="标题 字符"/>
    <w:qFormat/>
    <w:uiPriority w:val="0"/>
    <w:rPr>
      <w:rFonts w:ascii="等线 Light" w:hAnsi="等线 Light" w:cs="Times New Roman"/>
      <w:b/>
      <w:bCs/>
      <w:kern w:val="2"/>
      <w:sz w:val="32"/>
      <w:szCs w:val="32"/>
    </w:rPr>
  </w:style>
  <w:style w:type="character" w:customStyle="1" w:styleId="95">
    <w:name w:val="副标题 字符"/>
    <w:qFormat/>
    <w:uiPriority w:val="0"/>
    <w:rPr>
      <w:rFonts w:ascii="等线 Light" w:hAnsi="等线 Light" w:cs="Times New Roman"/>
      <w:b/>
      <w:bCs/>
      <w:kern w:val="28"/>
      <w:sz w:val="32"/>
      <w:szCs w:val="32"/>
    </w:rPr>
  </w:style>
  <w:style w:type="character" w:customStyle="1" w:styleId="96">
    <w:name w:val="标题 6 字符"/>
    <w:semiHidden/>
    <w:qFormat/>
    <w:uiPriority w:val="0"/>
    <w:rPr>
      <w:rFonts w:ascii="等线 Light" w:hAnsi="等线 Light" w:eastAsia="等线 Light" w:cs="Times New Roman"/>
      <w:b/>
      <w:bCs/>
      <w:kern w:val="2"/>
      <w:sz w:val="24"/>
      <w:szCs w:val="24"/>
    </w:rPr>
  </w:style>
  <w:style w:type="character" w:customStyle="1" w:styleId="97">
    <w:name w:val="日期 Char1_0"/>
    <w:link w:val="98"/>
    <w:qFormat/>
    <w:uiPriority w:val="0"/>
    <w:rPr>
      <w:rFonts w:ascii="Times New Roman" w:hAnsi="Times New Roman"/>
      <w:sz w:val="24"/>
    </w:rPr>
  </w:style>
  <w:style w:type="paragraph" w:customStyle="1" w:styleId="98">
    <w:name w:val="日期_0"/>
    <w:basedOn w:val="1"/>
    <w:next w:val="1"/>
    <w:link w:val="97"/>
    <w:qFormat/>
    <w:uiPriority w:val="0"/>
    <w:rPr>
      <w:kern w:val="0"/>
      <w:sz w:val="24"/>
      <w:szCs w:val="20"/>
    </w:rPr>
  </w:style>
  <w:style w:type="character" w:customStyle="1" w:styleId="99">
    <w:name w:val="标题5 Char Char"/>
    <w:link w:val="100"/>
    <w:qFormat/>
    <w:uiPriority w:val="0"/>
    <w:rPr>
      <w:rFonts w:ascii="Arial" w:hAnsi="Arial"/>
      <w:b/>
      <w:bCs/>
      <w:sz w:val="24"/>
      <w:szCs w:val="32"/>
    </w:rPr>
  </w:style>
  <w:style w:type="paragraph" w:customStyle="1" w:styleId="100">
    <w:name w:val="标题5"/>
    <w:basedOn w:val="8"/>
    <w:link w:val="99"/>
    <w:qFormat/>
    <w:uiPriority w:val="0"/>
    <w:pPr>
      <w:spacing w:line="413" w:lineRule="auto"/>
    </w:pPr>
    <w:rPr>
      <w:rFonts w:ascii="Arial" w:hAnsi="Arial" w:eastAsia="宋体"/>
      <w:kern w:val="0"/>
      <w:sz w:val="24"/>
    </w:rPr>
  </w:style>
  <w:style w:type="character" w:customStyle="1" w:styleId="101">
    <w:name w:val="日期 Char1"/>
    <w:qFormat/>
    <w:uiPriority w:val="0"/>
    <w:rPr>
      <w:kern w:val="2"/>
      <w:sz w:val="21"/>
      <w:szCs w:val="22"/>
    </w:rPr>
  </w:style>
  <w:style w:type="character" w:customStyle="1" w:styleId="102">
    <w:name w:val="正文文本 字符"/>
    <w:semiHidden/>
    <w:qFormat/>
    <w:uiPriority w:val="0"/>
    <w:rPr>
      <w:kern w:val="2"/>
      <w:sz w:val="21"/>
      <w:szCs w:val="24"/>
    </w:rPr>
  </w:style>
  <w:style w:type="character" w:customStyle="1" w:styleId="103">
    <w:name w:val="批注文字 Char Char"/>
    <w:qFormat/>
    <w:uiPriority w:val="0"/>
    <w:rPr>
      <w:rFonts w:ascii="宋体" w:hAnsi="Times New Roman" w:eastAsia="宋体" w:cs="Times New Roman"/>
      <w:sz w:val="28"/>
      <w:szCs w:val="20"/>
    </w:rPr>
  </w:style>
  <w:style w:type="character" w:customStyle="1" w:styleId="104">
    <w:name w:val="批注文字 Char"/>
    <w:qFormat/>
    <w:uiPriority w:val="0"/>
    <w:rPr>
      <w:rFonts w:ascii="Calibri" w:hAnsi="Calibri" w:eastAsia="宋体" w:cs="Times New Roman"/>
      <w:kern w:val="2"/>
      <w:sz w:val="21"/>
      <w:szCs w:val="24"/>
    </w:rPr>
  </w:style>
  <w:style w:type="character" w:customStyle="1" w:styleId="105">
    <w:name w:val="纯文本 Char"/>
    <w:qFormat/>
    <w:uiPriority w:val="99"/>
    <w:rPr>
      <w:rFonts w:ascii="宋体" w:hAnsi="Courier New" w:eastAsia="宋体" w:cs="Courier New"/>
      <w:kern w:val="2"/>
      <w:sz w:val="21"/>
      <w:szCs w:val="21"/>
    </w:rPr>
  </w:style>
  <w:style w:type="character" w:customStyle="1" w:styleId="106">
    <w:name w:val="textcontents"/>
    <w:qFormat/>
    <w:uiPriority w:val="0"/>
    <w:rPr>
      <w:rFonts w:cs="Times New Roman"/>
    </w:rPr>
  </w:style>
  <w:style w:type="character" w:customStyle="1" w:styleId="107">
    <w:name w:val="批注框文本 Char1"/>
    <w:qFormat/>
    <w:uiPriority w:val="0"/>
    <w:rPr>
      <w:kern w:val="2"/>
      <w:sz w:val="18"/>
      <w:szCs w:val="18"/>
    </w:rPr>
  </w:style>
  <w:style w:type="character" w:customStyle="1" w:styleId="108">
    <w:name w:val="引用 字符"/>
    <w:qFormat/>
    <w:uiPriority w:val="99"/>
    <w:rPr>
      <w:i/>
      <w:iCs/>
      <w:color w:val="404040"/>
      <w:kern w:val="2"/>
      <w:sz w:val="21"/>
      <w:szCs w:val="24"/>
    </w:rPr>
  </w:style>
  <w:style w:type="character" w:customStyle="1" w:styleId="109">
    <w:name w:val="文档结构图 字符"/>
    <w:semiHidden/>
    <w:qFormat/>
    <w:uiPriority w:val="0"/>
    <w:rPr>
      <w:rFonts w:ascii="Microsoft YaHei UI" w:eastAsia="Microsoft YaHei UI"/>
      <w:kern w:val="2"/>
      <w:sz w:val="18"/>
      <w:szCs w:val="18"/>
    </w:rPr>
  </w:style>
  <w:style w:type="character" w:customStyle="1" w:styleId="110">
    <w:name w:val="批注主题 Char1"/>
    <w:qFormat/>
    <w:uiPriority w:val="0"/>
    <w:rPr>
      <w:b/>
      <w:bCs/>
      <w:kern w:val="2"/>
      <w:sz w:val="21"/>
      <w:szCs w:val="22"/>
    </w:rPr>
  </w:style>
  <w:style w:type="character" w:customStyle="1" w:styleId="111">
    <w:name w:val="_Style 105"/>
    <w:qFormat/>
    <w:uiPriority w:val="0"/>
    <w:rPr>
      <w:smallCaps/>
      <w:color w:val="C0504D"/>
      <w:u w:val="single"/>
    </w:rPr>
  </w:style>
  <w:style w:type="character" w:customStyle="1" w:styleId="112">
    <w:name w:val="标题 5 Char"/>
    <w:qFormat/>
    <w:uiPriority w:val="0"/>
    <w:rPr>
      <w:b/>
      <w:bCs/>
      <w:kern w:val="2"/>
      <w:sz w:val="28"/>
      <w:szCs w:val="28"/>
    </w:rPr>
  </w:style>
  <w:style w:type="character" w:customStyle="1" w:styleId="113">
    <w:name w:val="_Style 107"/>
    <w:qFormat/>
    <w:uiPriority w:val="0"/>
    <w:rPr>
      <w:b/>
      <w:bCs/>
      <w:i/>
      <w:iCs/>
      <w:color w:val="4F81BD"/>
    </w:rPr>
  </w:style>
  <w:style w:type="character" w:customStyle="1" w:styleId="114">
    <w:name w:val="标题 8 字符"/>
    <w:semiHidden/>
    <w:qFormat/>
    <w:uiPriority w:val="0"/>
    <w:rPr>
      <w:rFonts w:ascii="等线 Light" w:hAnsi="等线 Light" w:eastAsia="等线 Light" w:cs="Times New Roman"/>
      <w:kern w:val="2"/>
      <w:sz w:val="24"/>
      <w:szCs w:val="24"/>
    </w:rPr>
  </w:style>
  <w:style w:type="character" w:customStyle="1" w:styleId="115">
    <w:name w:val="mini-outputtext1"/>
    <w:basedOn w:val="42"/>
    <w:qFormat/>
    <w:uiPriority w:val="0"/>
  </w:style>
  <w:style w:type="paragraph" w:customStyle="1" w:styleId="116">
    <w:name w:val="Heading 3_0"/>
    <w:basedOn w:val="1"/>
    <w:next w:val="1"/>
    <w:qFormat/>
    <w:uiPriority w:val="0"/>
    <w:pPr>
      <w:keepNext/>
      <w:keepLines/>
      <w:spacing w:before="260" w:after="260" w:line="413" w:lineRule="auto"/>
      <w:outlineLvl w:val="2"/>
    </w:pPr>
    <w:rPr>
      <w:rFonts w:ascii="Times New Roman" w:hAnsi="Times New Roman"/>
      <w:b/>
      <w:kern w:val="0"/>
      <w:sz w:val="32"/>
      <w:szCs w:val="20"/>
    </w:rPr>
  </w:style>
  <w:style w:type="paragraph" w:styleId="117">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8">
    <w:name w:val="_Style 4"/>
    <w:basedOn w:val="1"/>
    <w:next w:val="1"/>
    <w:qFormat/>
    <w:uiPriority w:val="0"/>
    <w:pPr>
      <w:keepNext/>
      <w:keepLines/>
      <w:spacing w:before="340" w:after="330" w:line="576" w:lineRule="auto"/>
    </w:pPr>
    <w:rPr>
      <w:rFonts w:ascii="Times New Roman" w:hAnsi="Times New Roman"/>
      <w:b/>
      <w:bCs/>
      <w:kern w:val="44"/>
      <w:sz w:val="44"/>
      <w:szCs w:val="44"/>
    </w:rPr>
  </w:style>
  <w:style w:type="paragraph" w:customStyle="1" w:styleId="11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121">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122">
    <w:name w:val="正文_0"/>
    <w:qFormat/>
    <w:uiPriority w:val="0"/>
    <w:pPr>
      <w:widowControl w:val="0"/>
      <w:jc w:val="both"/>
    </w:pPr>
    <w:rPr>
      <w:rFonts w:ascii="Times New Roman" w:hAnsi="Times New Roman" w:eastAsia="宋体" w:cs="Times New Roman"/>
      <w:lang w:val="en-US" w:eastAsia="zh-CN" w:bidi="ar-SA"/>
    </w:rPr>
  </w:style>
  <w:style w:type="paragraph" w:customStyle="1" w:styleId="123">
    <w:name w:val="标题 3_0"/>
    <w:basedOn w:val="122"/>
    <w:next w:val="122"/>
    <w:qFormat/>
    <w:uiPriority w:val="0"/>
    <w:pPr>
      <w:keepNext/>
      <w:keepLines/>
      <w:spacing w:before="260" w:after="260" w:line="413" w:lineRule="auto"/>
      <w:outlineLvl w:val="2"/>
    </w:pPr>
    <w:rPr>
      <w:b/>
      <w:bCs/>
      <w:sz w:val="32"/>
      <w:szCs w:val="32"/>
    </w:rPr>
  </w:style>
  <w:style w:type="paragraph" w:customStyle="1" w:styleId="124">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kern w:val="0"/>
      <w:sz w:val="28"/>
      <w:szCs w:val="20"/>
    </w:rPr>
  </w:style>
  <w:style w:type="paragraph" w:customStyle="1" w:styleId="125">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_Style 121"/>
    <w:basedOn w:val="6"/>
    <w:next w:val="1"/>
    <w:qFormat/>
    <w:uiPriority w:val="0"/>
    <w:pPr>
      <w:widowControl/>
      <w:spacing w:before="480" w:after="0" w:line="276" w:lineRule="auto"/>
      <w:jc w:val="left"/>
      <w:outlineLvl w:val="9"/>
    </w:pPr>
    <w:rPr>
      <w:rFonts w:ascii="Calibri Light" w:hAnsi="Calibri Light" w:eastAsia="宋体" w:cs="Times New Roman"/>
      <w:bCs/>
      <w:color w:val="2E74B5"/>
      <w:kern w:val="0"/>
      <w:sz w:val="28"/>
      <w:szCs w:val="28"/>
    </w:rPr>
  </w:style>
  <w:style w:type="paragraph" w:customStyle="1" w:styleId="127">
    <w:name w:val="_Style 122"/>
    <w:unhideWhenUsed/>
    <w:qFormat/>
    <w:uiPriority w:val="0"/>
    <w:rPr>
      <w:rFonts w:ascii="Times New Roman" w:hAnsi="Times New Roman" w:eastAsia="宋体" w:cs="Times New Roman"/>
      <w:kern w:val="2"/>
      <w:sz w:val="21"/>
      <w:szCs w:val="24"/>
      <w:lang w:val="en-US" w:eastAsia="zh-CN" w:bidi="ar-SA"/>
    </w:rPr>
  </w:style>
  <w:style w:type="paragraph" w:customStyle="1" w:styleId="1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9">
    <w:name w:val="WPSOffice手动目录 1"/>
    <w:qFormat/>
    <w:uiPriority w:val="0"/>
    <w:rPr>
      <w:rFonts w:ascii="Times New Roman" w:hAnsi="Times New Roman" w:eastAsia="宋体" w:cs="Times New Roman"/>
      <w:lang w:val="en-US" w:eastAsia="zh-CN" w:bidi="ar-SA"/>
    </w:rPr>
  </w:style>
  <w:style w:type="paragraph" w:customStyle="1" w:styleId="130">
    <w:name w:val="标题 4_0"/>
    <w:basedOn w:val="122"/>
    <w:next w:val="122"/>
    <w:qFormat/>
    <w:uiPriority w:val="0"/>
    <w:pPr>
      <w:keepNext/>
      <w:keepLines/>
      <w:spacing w:before="280" w:after="290" w:line="372" w:lineRule="auto"/>
      <w:outlineLvl w:val="3"/>
    </w:pPr>
    <w:rPr>
      <w:rFonts w:ascii="Cambria" w:hAnsi="Cambria"/>
      <w:b/>
      <w:bCs/>
      <w:sz w:val="28"/>
      <w:szCs w:val="28"/>
    </w:rPr>
  </w:style>
  <w:style w:type="paragraph" w:customStyle="1" w:styleId="131">
    <w:name w:val="列出段落11"/>
    <w:basedOn w:val="1"/>
    <w:qFormat/>
    <w:uiPriority w:val="34"/>
    <w:pPr>
      <w:ind w:firstLine="420" w:firstLineChars="200"/>
    </w:pPr>
    <w:rPr>
      <w:rFonts w:ascii="Calibri" w:hAnsi="Calibri" w:eastAsia="宋体" w:cs="Times New Roman"/>
      <w:szCs w:val="22"/>
      <w:lang w:val="zh-CN"/>
    </w:rPr>
  </w:style>
  <w:style w:type="paragraph" w:customStyle="1" w:styleId="132">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133">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134">
    <w:name w:val="Table Paragraph"/>
    <w:basedOn w:val="1"/>
    <w:qFormat/>
    <w:uiPriority w:val="1"/>
    <w:rPr>
      <w:rFonts w:ascii="宋体" w:hAnsi="宋体" w:eastAsia="宋体" w:cs="宋体"/>
      <w:lang w:val="zh-CN" w:eastAsia="zh-CN" w:bidi="zh-CN"/>
    </w:rPr>
  </w:style>
  <w:style w:type="paragraph" w:customStyle="1" w:styleId="135">
    <w:name w:val="List Paragraph1"/>
    <w:basedOn w:val="1"/>
    <w:qFormat/>
    <w:uiPriority w:val="34"/>
    <w:pPr>
      <w:ind w:firstLine="420" w:firstLineChars="200"/>
    </w:pPr>
  </w:style>
  <w:style w:type="paragraph" w:customStyle="1" w:styleId="136">
    <w:name w:val="Main Title"/>
    <w:next w:val="1"/>
    <w:link w:val="137"/>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 w:type="character" w:customStyle="1" w:styleId="137">
    <w:name w:val="Main Title Char"/>
    <w:link w:val="136"/>
    <w:qFormat/>
    <w:uiPriority w:val="0"/>
    <w:rPr>
      <w:rFonts w:ascii="黑体" w:hAnsi="黑体" w:eastAsia="黑体" w:cs="Times New Roman"/>
      <w:b/>
      <w:kern w:val="2"/>
      <w:sz w:val="36"/>
      <w:szCs w:val="22"/>
      <w:lang w:val="zh-CN" w:eastAsia="zh-CN" w:bidi="ar-SA"/>
    </w:rPr>
  </w:style>
  <w:style w:type="paragraph" w:customStyle="1" w:styleId="138">
    <w:name w:val="TOC 标题2"/>
    <w:basedOn w:val="6"/>
    <w:next w:val="1"/>
    <w:qFormat/>
    <w:uiPriority w:val="0"/>
    <w:pPr>
      <w:keepNext/>
      <w:keepLines/>
      <w:widowControl w:val="0"/>
      <w:adjustRightInd/>
      <w:snapToGrid/>
      <w:spacing w:before="260" w:after="260" w:line="413" w:lineRule="auto"/>
    </w:pPr>
    <w:rPr>
      <w:rFonts w:ascii="宋体" w:hAnsi="宋体" w:eastAsia="宋体" w:cs="Times New Roman"/>
      <w:sz w:val="36"/>
      <w:szCs w:val="44"/>
      <w:lang w:val="zh-CN"/>
    </w:rPr>
  </w:style>
  <w:style w:type="paragraph" w:customStyle="1" w:styleId="139">
    <w:name w:val="协议书标题2"/>
    <w:basedOn w:val="7"/>
    <w:next w:val="1"/>
    <w:qFormat/>
    <w:uiPriority w:val="0"/>
    <w:pPr>
      <w:keepNext w:val="0"/>
      <w:keepLines w:val="0"/>
      <w:numPr>
        <w:ilvl w:val="0"/>
        <w:numId w:val="2"/>
      </w:numPr>
      <w:tabs>
        <w:tab w:val="left" w:pos="567"/>
      </w:tabs>
      <w:spacing w:line="360" w:lineRule="auto"/>
      <w:ind w:firstLine="0" w:firstLineChars="0"/>
      <w:jc w:val="left"/>
    </w:pPr>
    <w:rPr>
      <w:rFonts w:ascii="宋体" w:hAnsi="宋体" w:eastAsia="宋体"/>
      <w:sz w:val="24"/>
    </w:rPr>
  </w:style>
  <w:style w:type="paragraph" w:customStyle="1" w:styleId="140">
    <w:name w:val="tabl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 w:type="paragraph" w:customStyle="1" w:styleId="141">
    <w:name w:val="通用标题2"/>
    <w:basedOn w:val="7"/>
    <w:next w:val="1"/>
    <w:qFormat/>
    <w:uiPriority w:val="0"/>
    <w:pPr>
      <w:keepNext w:val="0"/>
      <w:keepLines w:val="0"/>
      <w:numPr>
        <w:ilvl w:val="0"/>
        <w:numId w:val="3"/>
      </w:numPr>
      <w:tabs>
        <w:tab w:val="left" w:pos="993"/>
      </w:tabs>
      <w:spacing w:line="360" w:lineRule="auto"/>
      <w:ind w:firstLineChars="0"/>
    </w:pPr>
    <w:rPr>
      <w:rFonts w:ascii="黑体" w:hAnsi="黑体"/>
    </w:rPr>
  </w:style>
  <w:style w:type="paragraph" w:customStyle="1" w:styleId="142">
    <w:name w:val="通用标题3"/>
    <w:next w:val="1"/>
    <w:qFormat/>
    <w:uiPriority w:val="0"/>
    <w:pPr>
      <w:widowControl w:val="0"/>
      <w:numPr>
        <w:ilvl w:val="1"/>
        <w:numId w:val="4"/>
      </w:numPr>
      <w:tabs>
        <w:tab w:val="left" w:pos="851"/>
      </w:tabs>
      <w:adjustRightInd w:val="0"/>
      <w:snapToGrid w:val="0"/>
      <w:spacing w:after="120" w:afterLines="50" w:line="360" w:lineRule="auto"/>
      <w:jc w:val="both"/>
      <w:outlineLvl w:val="2"/>
    </w:pPr>
    <w:rPr>
      <w:rFonts w:ascii="黑体" w:hAnsi="黑体" w:eastAsia="黑体" w:cs="Times New Roman"/>
      <w:b/>
      <w:kern w:val="2"/>
      <w:sz w:val="24"/>
      <w:szCs w:val="24"/>
      <w:lang w:val="en-US" w:eastAsia="zh-CN" w:bidi="ar-SA"/>
    </w:rPr>
  </w:style>
  <w:style w:type="paragraph" w:customStyle="1" w:styleId="143">
    <w:name w:val="通用标题4"/>
    <w:next w:val="1"/>
    <w:qFormat/>
    <w:uiPriority w:val="0"/>
    <w:pPr>
      <w:numPr>
        <w:ilvl w:val="2"/>
        <w:numId w:val="4"/>
      </w:numPr>
      <w:tabs>
        <w:tab w:val="left" w:pos="851"/>
      </w:tabs>
      <w:adjustRightInd w:val="0"/>
      <w:snapToGrid w:val="0"/>
      <w:spacing w:after="120" w:afterLines="50" w:line="360" w:lineRule="auto"/>
      <w:jc w:val="both"/>
      <w:outlineLvl w:val="3"/>
    </w:pPr>
    <w:rPr>
      <w:rFonts w:ascii="宋体" w:hAnsi="宋体" w:eastAsia="宋体" w:cs="Times New Roman"/>
      <w:kern w:val="2"/>
      <w:sz w:val="24"/>
      <w:szCs w:val="21"/>
      <w:lang w:val="en-US" w:eastAsia="zh-CN" w:bidi="ar-SA"/>
    </w:rPr>
  </w:style>
  <w:style w:type="paragraph" w:customStyle="1" w:styleId="144">
    <w:name w:val="通用标题5"/>
    <w:qFormat/>
    <w:uiPriority w:val="0"/>
    <w:pPr>
      <w:widowControl w:val="0"/>
      <w:numPr>
        <w:ilvl w:val="3"/>
        <w:numId w:val="4"/>
      </w:numPr>
      <w:tabs>
        <w:tab w:val="left" w:pos="1134"/>
      </w:tabs>
      <w:autoSpaceDE w:val="0"/>
      <w:autoSpaceDN w:val="0"/>
      <w:adjustRightInd w:val="0"/>
      <w:snapToGrid w:val="0"/>
      <w:spacing w:after="120" w:afterLines="50" w:line="360" w:lineRule="auto"/>
      <w:jc w:val="both"/>
    </w:pPr>
    <w:rPr>
      <w:rFonts w:ascii="宋体" w:hAnsi="宋体" w:eastAsia="宋体" w:cs="Times New Roman"/>
      <w:kern w:val="2"/>
      <w:sz w:val="24"/>
      <w:szCs w:val="21"/>
      <w:lang w:val="en-US" w:eastAsia="zh-CN" w:bidi="ar-SA"/>
    </w:rPr>
  </w:style>
  <w:style w:type="paragraph" w:customStyle="1" w:styleId="145">
    <w:name w:val="通用标题6"/>
    <w:basedOn w:val="1"/>
    <w:qFormat/>
    <w:uiPriority w:val="0"/>
    <w:pPr>
      <w:numPr>
        <w:ilvl w:val="4"/>
        <w:numId w:val="5"/>
      </w:numPr>
      <w:tabs>
        <w:tab w:val="left" w:pos="993"/>
      </w:tabs>
      <w:wordWrap/>
      <w:topLinePunct w:val="0"/>
      <w:ind w:firstLine="0" w:firstLineChars="0"/>
    </w:pPr>
  </w:style>
  <w:style w:type="paragraph" w:customStyle="1" w:styleId="146">
    <w:name w:val="专用标题2"/>
    <w:basedOn w:val="7"/>
    <w:next w:val="1"/>
    <w:qFormat/>
    <w:uiPriority w:val="0"/>
    <w:pPr>
      <w:keepNext w:val="0"/>
      <w:keepLines w:val="0"/>
      <w:tabs>
        <w:tab w:val="left" w:pos="993"/>
      </w:tabs>
      <w:wordWrap/>
      <w:topLinePunct w:val="0"/>
      <w:spacing w:line="360" w:lineRule="auto"/>
      <w:ind w:firstLine="0" w:firstLineChars="0"/>
    </w:pPr>
    <w:rPr>
      <w:rFonts w:ascii="宋体" w:hAnsi="宋体" w:eastAsia="宋体" w:cs="Times"/>
    </w:rPr>
  </w:style>
  <w:style w:type="paragraph" w:customStyle="1" w:styleId="147">
    <w:name w:val="附件标题"/>
    <w:basedOn w:val="7"/>
    <w:next w:val="1"/>
    <w:qFormat/>
    <w:uiPriority w:val="0"/>
    <w:pPr>
      <w:numPr>
        <w:ilvl w:val="0"/>
        <w:numId w:val="6"/>
      </w:numPr>
      <w:tabs>
        <w:tab w:val="left" w:pos="1134"/>
      </w:tabs>
      <w:spacing w:line="360" w:lineRule="auto"/>
      <w:ind w:firstLine="0" w:firstLineChars="0"/>
      <w:jc w:val="center"/>
    </w:pPr>
    <w:rPr>
      <w:rFonts w:ascii="黑体" w:hAnsi="黑体"/>
      <w:sz w:val="30"/>
      <w:szCs w:val="30"/>
    </w:rPr>
  </w:style>
  <w:style w:type="paragraph" w:customStyle="1" w:styleId="148">
    <w:name w:val="附件标题1"/>
    <w:next w:val="1"/>
    <w:qFormat/>
    <w:uiPriority w:val="0"/>
    <w:pPr>
      <w:numPr>
        <w:ilvl w:val="0"/>
        <w:numId w:val="7"/>
      </w:numPr>
      <w:tabs>
        <w:tab w:val="left" w:pos="567"/>
      </w:tabs>
      <w:adjustRightInd w:val="0"/>
      <w:snapToGrid w:val="0"/>
      <w:spacing w:after="120" w:afterLines="50" w:line="312" w:lineRule="auto"/>
    </w:pPr>
    <w:rPr>
      <w:rFonts w:ascii="黑体" w:hAnsi="黑体" w:eastAsia="黑体" w:cs="Times New Roman"/>
      <w:b/>
      <w:kern w:val="2"/>
      <w:sz w:val="24"/>
      <w:szCs w:val="24"/>
      <w:lang w:val="en-US" w:eastAsia="zh-CN" w:bidi="ar-SA"/>
    </w:rPr>
  </w:style>
  <w:style w:type="paragraph" w:customStyle="1" w:styleId="149">
    <w:name w:val="首行缩进"/>
    <w:basedOn w:val="1"/>
    <w:qFormat/>
    <w:uiPriority w:val="0"/>
    <w:pPr>
      <w:spacing w:line="360" w:lineRule="auto"/>
      <w:ind w:firstLine="480" w:firstLineChars="200"/>
    </w:pPr>
    <w:rPr>
      <w:sz w:val="24"/>
    </w:rPr>
  </w:style>
  <w:style w:type="character" w:customStyle="1" w:styleId="150">
    <w:name w:val="style11"/>
    <w:basedOn w:val="42"/>
    <w:qFormat/>
    <w:uiPriority w:val="0"/>
    <w:rPr>
      <w:rFonts w:hint="eastAsia" w:ascii="黑体" w:eastAsia="黑体"/>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header" Target="header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119</Pages>
  <Words>38576</Words>
  <Characters>40705</Characters>
  <Lines>1</Lines>
  <Paragraphs>1</Paragraphs>
  <TotalTime>0</TotalTime>
  <ScaleCrop>false</ScaleCrop>
  <LinksUpToDate>false</LinksUpToDate>
  <CharactersWithSpaces>57047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2018-12-23T06:56:00Z</dcterms:created>
  <dc:creator>meimei</dc:creator>
  <cp:lastModifiedBy>ℳℓ柠ℳℓ檬ℳℓ</cp:lastModifiedBy>
  <cp:lastPrinted>2022-08-01T05:40:00Z</cp:lastPrinted>
  <dcterms:modified xsi:type="dcterms:W3CDTF">2022-12-13T09:02:24Z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22E3525DA55F4081A430190C81BE6A3E</vt:lpwstr>
  </property>
</Properties>
</file>